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2425" w:rsidRDefault="00DB0CA8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Министерство природных ресурсов и экологии Новосибирской области</w:t>
      </w:r>
    </w:p>
    <w:p w:rsidR="00D22425" w:rsidRDefault="00DB0CA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D22425" w:rsidRDefault="00DB0CA8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расчетам прогноза доходов на 2026 год и плановый период 2027 и 2028 годов</w:t>
      </w:r>
    </w:p>
    <w:p w:rsidR="00D22425" w:rsidRDefault="00DB0CA8">
      <w:pPr>
        <w:tabs>
          <w:tab w:val="left" w:pos="0"/>
        </w:tabs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  <w:t xml:space="preserve">По </w:t>
      </w:r>
      <w:r>
        <w:rPr>
          <w:rFonts w:ascii="Times New Roman" w:hAnsi="Times New Roman"/>
          <w:b/>
          <w:sz w:val="28"/>
          <w:szCs w:val="28"/>
        </w:rPr>
        <w:t xml:space="preserve">коду доходов 130 1 08 07300 01 0000 110 </w:t>
      </w:r>
      <w:r>
        <w:rPr>
          <w:rFonts w:ascii="Times New Roman" w:hAnsi="Times New Roman"/>
          <w:sz w:val="28"/>
          <w:szCs w:val="28"/>
        </w:rPr>
        <w:t>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Прочие государственные пошлины за совершение прочих юридически значимых действий, подлежащие зачислению в бюджет субъекта Российской Федерации).</w:t>
      </w:r>
    </w:p>
    <w:p w:rsidR="00D22425" w:rsidRDefault="00DB0CA8">
      <w:pPr>
        <w:spacing w:before="100" w:beforeAutospacing="1" w:after="100" w:afterAutospacing="1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Г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осударственная пошлина </w:t>
      </w:r>
      <w:r>
        <w:rPr>
          <w:rFonts w:ascii="Times New Roman" w:hAnsi="Times New Roman"/>
          <w:sz w:val="28"/>
          <w:szCs w:val="28"/>
        </w:rPr>
        <w:t>за предоставление лицензий на право пользования недрами.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D22425" w:rsidRDefault="00DB0CA8">
      <w:pPr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Прогноз поступлений на очере</w:t>
      </w:r>
      <w:r>
        <w:rPr>
          <w:rFonts w:ascii="Times New Roman" w:hAnsi="Times New Roman"/>
          <w:sz w:val="28"/>
          <w:szCs w:val="28"/>
        </w:rPr>
        <w:t xml:space="preserve">дной финансовый год и на плановый период по государственной пошлине за совершение действий, связанных </w:t>
      </w:r>
      <w:proofErr w:type="gramStart"/>
      <w:r>
        <w:rPr>
          <w:rFonts w:ascii="Times New Roman" w:hAnsi="Times New Roman"/>
          <w:sz w:val="28"/>
          <w:szCs w:val="28"/>
        </w:rPr>
        <w:t>с лицензированием</w:t>
      </w:r>
      <w:proofErr w:type="gramEnd"/>
      <w:r>
        <w:rPr>
          <w:rFonts w:ascii="Times New Roman" w:hAnsi="Times New Roman"/>
          <w:sz w:val="28"/>
          <w:szCs w:val="28"/>
        </w:rPr>
        <w:t xml:space="preserve"> определяется расчетным путем, с учетом статистических данных и показателей, влияющих на сумму прогнозируемого дохода (единовременных пос</w:t>
      </w:r>
      <w:r>
        <w:rPr>
          <w:rFonts w:ascii="Times New Roman" w:hAnsi="Times New Roman"/>
          <w:sz w:val="28"/>
          <w:szCs w:val="28"/>
        </w:rPr>
        <w:t xml:space="preserve">туплений) по прямому методу расчета. </w:t>
      </w:r>
    </w:p>
    <w:p w:rsidR="00D22425" w:rsidRDefault="00DB0CA8">
      <w:pPr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ГЛиценз</w:t>
      </w:r>
      <w:proofErr w:type="spellEnd"/>
      <w:r>
        <w:rPr>
          <w:rFonts w:ascii="Times New Roman" w:hAnsi="Times New Roman"/>
          <w:sz w:val="28"/>
          <w:szCs w:val="28"/>
        </w:rPr>
        <w:t>, определяется, исходя из следующего алгоритма расчета:</w:t>
      </w:r>
    </w:p>
    <w:p w:rsidR="00D22425" w:rsidRDefault="00DB0CA8">
      <w:pPr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ГЛиценз</w:t>
      </w:r>
      <w:proofErr w:type="spellEnd"/>
      <w:r>
        <w:rPr>
          <w:rFonts w:ascii="Times New Roman" w:hAnsi="Times New Roman"/>
          <w:sz w:val="28"/>
          <w:szCs w:val="28"/>
        </w:rPr>
        <w:t xml:space="preserve">= </w:t>
      </w:r>
      <w:proofErr w:type="spellStart"/>
      <w:r>
        <w:rPr>
          <w:rFonts w:ascii="Times New Roman" w:hAnsi="Times New Roman"/>
          <w:sz w:val="28"/>
          <w:szCs w:val="28"/>
        </w:rPr>
        <w:t>КЛиценз</w:t>
      </w:r>
      <w:proofErr w:type="spellEnd"/>
      <w:r>
        <w:rPr>
          <w:rFonts w:ascii="Times New Roman" w:hAnsi="Times New Roman"/>
          <w:sz w:val="28"/>
          <w:szCs w:val="28"/>
        </w:rPr>
        <w:t xml:space="preserve"> х </w:t>
      </w:r>
      <w:proofErr w:type="spellStart"/>
      <w:r>
        <w:rPr>
          <w:rFonts w:ascii="Times New Roman" w:hAnsi="Times New Roman"/>
          <w:sz w:val="28"/>
          <w:szCs w:val="28"/>
        </w:rPr>
        <w:t>СрЛиценз</w:t>
      </w:r>
      <w:proofErr w:type="spellEnd"/>
      <w:r>
        <w:rPr>
          <w:rFonts w:ascii="Times New Roman" w:hAnsi="Times New Roman"/>
          <w:sz w:val="28"/>
          <w:szCs w:val="28"/>
        </w:rPr>
        <w:t>, где:</w:t>
      </w:r>
    </w:p>
    <w:p w:rsidR="00D22425" w:rsidRDefault="00DB0CA8">
      <w:pPr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КЛиценз</w:t>
      </w:r>
      <w:proofErr w:type="spellEnd"/>
      <w:r>
        <w:rPr>
          <w:rFonts w:ascii="Times New Roman" w:hAnsi="Times New Roman"/>
          <w:sz w:val="28"/>
          <w:szCs w:val="28"/>
        </w:rPr>
        <w:t>–прогнозируемое (расчетное) количество государственных пошлин за совершение действий, связанных с лицензированием,</w:t>
      </w:r>
      <w:r>
        <w:rPr>
          <w:rFonts w:ascii="Times New Roman" w:hAnsi="Times New Roman"/>
          <w:sz w:val="28"/>
          <w:szCs w:val="28"/>
        </w:rPr>
        <w:t xml:space="preserve"> единиц;</w:t>
      </w:r>
    </w:p>
    <w:p w:rsidR="00D22425" w:rsidRDefault="00DB0CA8">
      <w:pPr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Расчет количества государственных пошлин производится методом экстраполяции или методом усреднения (за три года, предшествующих прогнозируемому году).</w:t>
      </w:r>
    </w:p>
    <w:p w:rsidR="00D22425" w:rsidRDefault="00DB0CA8">
      <w:pPr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СрЛиценз</w:t>
      </w:r>
      <w:proofErr w:type="spellEnd"/>
      <w:r>
        <w:rPr>
          <w:rFonts w:ascii="Times New Roman" w:hAnsi="Times New Roman"/>
          <w:sz w:val="28"/>
          <w:szCs w:val="28"/>
        </w:rPr>
        <w:t>–расчетный размер государственной пошлины за совершение действий, связанных с лицензиро</w:t>
      </w:r>
      <w:r>
        <w:rPr>
          <w:rFonts w:ascii="Times New Roman" w:hAnsi="Times New Roman"/>
          <w:sz w:val="28"/>
          <w:szCs w:val="28"/>
        </w:rPr>
        <w:t>ванием, тыс. рублей.</w:t>
      </w:r>
    </w:p>
    <w:p w:rsidR="00D22425" w:rsidRDefault="00DB0CA8">
      <w:pPr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План на 2025 год утвержден в сумме 727,5 тыс. руб., фактическое поступление за 5 месяцев 2025 года составляет 415,3 тыс. руб., или 57% годовых плановых назначений. Ожидаемое поступление в 2025 составляет 727,5 тыс. руб. (97 обращений </w:t>
      </w:r>
      <w:r>
        <w:rPr>
          <w:rFonts w:ascii="Times New Roman" w:hAnsi="Times New Roman"/>
          <w:sz w:val="28"/>
          <w:szCs w:val="28"/>
        </w:rPr>
        <w:t>х 7,5тыс. руб.).</w:t>
      </w:r>
    </w:p>
    <w:p w:rsidR="00D22425" w:rsidRDefault="00DB0CA8">
      <w:pPr>
        <w:spacing w:after="0" w:line="240" w:lineRule="auto"/>
        <w:ind w:firstLine="45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Сумма государственной пошлины, прогнозируемая к поступлению в областной бюджет в:</w:t>
      </w:r>
    </w:p>
    <w:p w:rsidR="00D22425" w:rsidRDefault="00DB0CA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2026 году</w:t>
      </w:r>
      <w:r>
        <w:rPr>
          <w:rFonts w:ascii="Times New Roman" w:hAnsi="Times New Roman"/>
          <w:sz w:val="28"/>
          <w:szCs w:val="28"/>
        </w:rPr>
        <w:t xml:space="preserve">: (98+106+97)/3= 100*7,5= </w:t>
      </w:r>
      <w:r>
        <w:rPr>
          <w:rFonts w:ascii="Times New Roman" w:hAnsi="Times New Roman"/>
          <w:b/>
          <w:sz w:val="28"/>
          <w:szCs w:val="28"/>
        </w:rPr>
        <w:t>750,0 тыс. рублей;</w:t>
      </w:r>
    </w:p>
    <w:p w:rsidR="00D22425" w:rsidRDefault="00DB0CA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2027 году</w:t>
      </w:r>
      <w:r>
        <w:rPr>
          <w:rFonts w:ascii="Times New Roman" w:hAnsi="Times New Roman"/>
          <w:sz w:val="28"/>
          <w:szCs w:val="28"/>
        </w:rPr>
        <w:t xml:space="preserve">: (106+97+100)/3= 101*7,5= </w:t>
      </w:r>
      <w:r>
        <w:rPr>
          <w:rFonts w:ascii="Times New Roman" w:hAnsi="Times New Roman"/>
          <w:b/>
          <w:sz w:val="28"/>
          <w:szCs w:val="28"/>
        </w:rPr>
        <w:t>757,5,0 тыс. рублей;</w:t>
      </w:r>
    </w:p>
    <w:p w:rsidR="00D22425" w:rsidRDefault="00DB0CA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2028 году</w:t>
      </w:r>
      <w:r>
        <w:rPr>
          <w:rFonts w:ascii="Times New Roman" w:hAnsi="Times New Roman"/>
          <w:sz w:val="28"/>
          <w:szCs w:val="28"/>
        </w:rPr>
        <w:t xml:space="preserve">: (97+100+101)/3= 99*7,5= </w:t>
      </w:r>
      <w:r>
        <w:rPr>
          <w:rFonts w:ascii="Times New Roman" w:hAnsi="Times New Roman"/>
          <w:b/>
          <w:sz w:val="28"/>
          <w:szCs w:val="28"/>
        </w:rPr>
        <w:t xml:space="preserve">742,5 тыс. </w:t>
      </w:r>
      <w:r>
        <w:rPr>
          <w:rFonts w:ascii="Times New Roman" w:hAnsi="Times New Roman"/>
          <w:b/>
          <w:sz w:val="28"/>
          <w:szCs w:val="28"/>
        </w:rPr>
        <w:t>рублей.</w:t>
      </w:r>
    </w:p>
    <w:p w:rsidR="00D22425" w:rsidRDefault="00DB0CA8">
      <w:pPr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Фактическое количество государственных пошлин за совершение действий, связанных с лицензированием (показатели для расчетов): в 2023 году - 98 единицы, в 2024 году - 106 единиц, ожидаемое 2025 года – 97 единиц.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Согласно распоряжению Правительства Н</w:t>
      </w:r>
      <w:r>
        <w:rPr>
          <w:rFonts w:ascii="Times New Roman" w:hAnsi="Times New Roman"/>
          <w:sz w:val="28"/>
          <w:szCs w:val="28"/>
        </w:rPr>
        <w:t>овосибирской области от 02.04.2019 № 123-рп министерство природных ресурсов и экологии Новосибирской области осуществляет права акционера от имени Новосибирской области в хозяйственных обществах - лесхозах, 100 % акций в уставных капиталах которых находятс</w:t>
      </w:r>
      <w:r>
        <w:rPr>
          <w:rFonts w:ascii="Times New Roman" w:hAnsi="Times New Roman"/>
          <w:sz w:val="28"/>
          <w:szCs w:val="28"/>
        </w:rPr>
        <w:t xml:space="preserve">я в государственной собственности Новосибирской </w:t>
      </w:r>
      <w:r>
        <w:rPr>
          <w:rFonts w:ascii="Times New Roman" w:hAnsi="Times New Roman"/>
          <w:sz w:val="28"/>
          <w:szCs w:val="28"/>
        </w:rPr>
        <w:lastRenderedPageBreak/>
        <w:t xml:space="preserve">области и является главным администратором доходов областного бюджета Новосибирской области по коду доходов </w:t>
      </w:r>
      <w:r>
        <w:rPr>
          <w:rFonts w:ascii="Times New Roman" w:hAnsi="Times New Roman"/>
          <w:b/>
          <w:sz w:val="28"/>
          <w:szCs w:val="28"/>
        </w:rPr>
        <w:t>130 1 11 01020 02 0000 120</w:t>
      </w:r>
      <w:r>
        <w:rPr>
          <w:rFonts w:ascii="Times New Roman" w:hAnsi="Times New Roman"/>
          <w:sz w:val="28"/>
          <w:szCs w:val="28"/>
        </w:rPr>
        <w:t xml:space="preserve"> «Доходы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Российской Федерации по коду бюджетной классификации доходов». 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поступлений в обл</w:t>
      </w:r>
      <w:r>
        <w:rPr>
          <w:rFonts w:ascii="Times New Roman" w:hAnsi="Times New Roman"/>
          <w:sz w:val="28"/>
          <w:szCs w:val="28"/>
        </w:rPr>
        <w:t>астной бюджет доходов в виде дивидендов по акциям, принадлежащим Новосибирской области рассчитан в соответствии с методикой прогнозирования поступлений доходов администрируемых министерством природных ресурсов и экологии Новосибирской области в бюджеты бюд</w:t>
      </w:r>
      <w:r>
        <w:rPr>
          <w:rFonts w:ascii="Times New Roman" w:hAnsi="Times New Roman"/>
          <w:sz w:val="28"/>
          <w:szCs w:val="28"/>
        </w:rPr>
        <w:t>жетной системы Российской Федерации с применением метода прямого расчета.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прогноза поступлений в областной бюджет доходов в виде дивидендов по акциям, принадлежащим Новосибирской области, на очередной финансовый год осуществляется в соответствии со следующей формулой: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 дивиденды </w:t>
      </w:r>
      <w:proofErr w:type="spellStart"/>
      <w:r>
        <w:rPr>
          <w:rFonts w:ascii="Times New Roman" w:hAnsi="Times New Roman"/>
          <w:sz w:val="28"/>
          <w:szCs w:val="28"/>
        </w:rPr>
        <w:t>очер</w:t>
      </w:r>
      <w:proofErr w:type="spellEnd"/>
      <w:r>
        <w:rPr>
          <w:rFonts w:ascii="Times New Roman" w:hAnsi="Times New Roman"/>
          <w:sz w:val="28"/>
          <w:szCs w:val="28"/>
        </w:rPr>
        <w:t xml:space="preserve"> = </w:t>
      </w:r>
      <w:proofErr w:type="gramStart"/>
      <w:r>
        <w:rPr>
          <w:rFonts w:ascii="Times New Roman" w:hAnsi="Times New Roman"/>
          <w:sz w:val="28"/>
          <w:szCs w:val="28"/>
        </w:rPr>
        <w:t>∑(</w:t>
      </w:r>
      <w:proofErr w:type="gramEnd"/>
      <w:r>
        <w:rPr>
          <w:rFonts w:ascii="Times New Roman" w:hAnsi="Times New Roman"/>
          <w:sz w:val="28"/>
          <w:szCs w:val="28"/>
        </w:rPr>
        <w:t xml:space="preserve">ЧП i*К доля </w:t>
      </w:r>
      <w:proofErr w:type="spellStart"/>
      <w:r>
        <w:rPr>
          <w:rFonts w:ascii="Times New Roman" w:hAnsi="Times New Roman"/>
          <w:sz w:val="28"/>
          <w:szCs w:val="28"/>
        </w:rPr>
        <w:t>чп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 i),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ЧП i</w:t>
      </w:r>
      <w:r>
        <w:rPr>
          <w:rFonts w:ascii="Times New Roman" w:hAnsi="Times New Roman"/>
          <w:sz w:val="28"/>
          <w:szCs w:val="28"/>
        </w:rPr>
        <w:t xml:space="preserve"> – прогнозируемая сумма чистой прибыли i-</w:t>
      </w:r>
      <w:proofErr w:type="spellStart"/>
      <w:r>
        <w:rPr>
          <w:rFonts w:ascii="Times New Roman" w:hAnsi="Times New Roman"/>
          <w:sz w:val="28"/>
          <w:szCs w:val="28"/>
        </w:rPr>
        <w:t>ых</w:t>
      </w:r>
      <w:proofErr w:type="spellEnd"/>
      <w:r>
        <w:rPr>
          <w:rFonts w:ascii="Times New Roman" w:hAnsi="Times New Roman"/>
          <w:sz w:val="28"/>
          <w:szCs w:val="28"/>
        </w:rPr>
        <w:t xml:space="preserve"> хозяйственных обществ, ожидаемая в очередном финансовом году и представленная i-</w:t>
      </w:r>
      <w:proofErr w:type="spellStart"/>
      <w:r>
        <w:rPr>
          <w:rFonts w:ascii="Times New Roman" w:hAnsi="Times New Roman"/>
          <w:sz w:val="28"/>
          <w:szCs w:val="28"/>
        </w:rPr>
        <w:t>ым</w:t>
      </w:r>
      <w:proofErr w:type="spellEnd"/>
      <w:r>
        <w:rPr>
          <w:rFonts w:ascii="Times New Roman" w:hAnsi="Times New Roman"/>
          <w:sz w:val="28"/>
          <w:szCs w:val="28"/>
        </w:rPr>
        <w:t xml:space="preserve"> хозяйственным обществом;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доля </w:t>
      </w:r>
      <w:proofErr w:type="spellStart"/>
      <w:r>
        <w:rPr>
          <w:rFonts w:ascii="Times New Roman" w:hAnsi="Times New Roman"/>
          <w:sz w:val="28"/>
          <w:szCs w:val="28"/>
        </w:rPr>
        <w:t>чп</w:t>
      </w:r>
      <w:proofErr w:type="spellEnd"/>
      <w:r>
        <w:rPr>
          <w:rFonts w:ascii="Times New Roman" w:hAnsi="Times New Roman"/>
          <w:sz w:val="28"/>
          <w:szCs w:val="28"/>
        </w:rPr>
        <w:t xml:space="preserve"> норм i – процент от чистой прибыли, направляемый на выплату дивидендов в очередном финансовом </w:t>
      </w:r>
      <w:r>
        <w:rPr>
          <w:rFonts w:ascii="Times New Roman" w:hAnsi="Times New Roman"/>
          <w:sz w:val="28"/>
          <w:szCs w:val="28"/>
        </w:rPr>
        <w:t>году i-</w:t>
      </w:r>
      <w:proofErr w:type="spellStart"/>
      <w:r>
        <w:rPr>
          <w:rFonts w:ascii="Times New Roman" w:hAnsi="Times New Roman"/>
          <w:sz w:val="28"/>
          <w:szCs w:val="28"/>
        </w:rPr>
        <w:t>ым</w:t>
      </w:r>
      <w:proofErr w:type="spellEnd"/>
      <w:r>
        <w:rPr>
          <w:rFonts w:ascii="Times New Roman" w:hAnsi="Times New Roman"/>
          <w:sz w:val="28"/>
          <w:szCs w:val="28"/>
        </w:rPr>
        <w:t xml:space="preserve"> хозяйственным обществом и утвержденная приказом министерства природных ресурсов и экологии Новосибирской области от 03.03.2020 № 560 «Об установлении величины чистой прибыли, направляемой на выплаты дивидендов» (не превышает 0,2). 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на 2025 г</w:t>
      </w:r>
      <w:r>
        <w:rPr>
          <w:rFonts w:ascii="Times New Roman" w:hAnsi="Times New Roman"/>
          <w:sz w:val="28"/>
          <w:szCs w:val="28"/>
        </w:rPr>
        <w:t xml:space="preserve">од утвержден в объеме 1 600,0 тыс. руб. За 5 месяцев отчетного года </w:t>
      </w:r>
      <w:proofErr w:type="spellStart"/>
      <w:r>
        <w:rPr>
          <w:rFonts w:ascii="Times New Roman" w:hAnsi="Times New Roman"/>
          <w:sz w:val="28"/>
          <w:szCs w:val="28"/>
        </w:rPr>
        <w:t>постулений</w:t>
      </w:r>
      <w:proofErr w:type="spellEnd"/>
      <w:r>
        <w:rPr>
          <w:rFonts w:ascii="Times New Roman" w:hAnsi="Times New Roman"/>
          <w:sz w:val="28"/>
          <w:szCs w:val="28"/>
        </w:rPr>
        <w:t xml:space="preserve"> нет. </w:t>
      </w:r>
      <w:proofErr w:type="gramStart"/>
      <w:r>
        <w:rPr>
          <w:rFonts w:ascii="Times New Roman" w:hAnsi="Times New Roman"/>
          <w:sz w:val="28"/>
          <w:szCs w:val="28"/>
        </w:rPr>
        <w:t>Согласно отчетов</w:t>
      </w:r>
      <w:proofErr w:type="gramEnd"/>
      <w:r>
        <w:rPr>
          <w:rFonts w:ascii="Times New Roman" w:hAnsi="Times New Roman"/>
          <w:sz w:val="28"/>
          <w:szCs w:val="28"/>
        </w:rPr>
        <w:t>, представленных лесхозами за 2024 год, исходя из суммы чистой прибыли хозяйственных обществ, ожидаемое поступление в текущем году составляет 659,8 тыс. руб</w:t>
      </w:r>
      <w:r>
        <w:rPr>
          <w:rFonts w:ascii="Times New Roman" w:hAnsi="Times New Roman"/>
          <w:sz w:val="28"/>
          <w:szCs w:val="28"/>
        </w:rPr>
        <w:t>лей (</w:t>
      </w:r>
      <w:r w:rsidRPr="00DB0CA8">
        <w:rPr>
          <w:rFonts w:ascii="Times New Roman" w:hAnsi="Times New Roman"/>
          <w:strike/>
          <w:color w:val="FF0000"/>
          <w:sz w:val="28"/>
          <w:szCs w:val="28"/>
        </w:rPr>
        <w:t>прогнозируемая</w:t>
      </w:r>
      <w:r w:rsidRPr="00854978">
        <w:rPr>
          <w:rFonts w:ascii="Times New Roman" w:hAnsi="Times New Roman"/>
          <w:color w:val="FF0000"/>
          <w:sz w:val="28"/>
          <w:szCs w:val="28"/>
        </w:rPr>
        <w:t xml:space="preserve"> сумма чистой прибыли хозяйственных обществ в 202</w:t>
      </w:r>
      <w:r w:rsidRPr="00DB0CA8">
        <w:rPr>
          <w:rFonts w:ascii="Times New Roman" w:hAnsi="Times New Roman"/>
          <w:strike/>
          <w:color w:val="FF0000"/>
          <w:sz w:val="28"/>
          <w:szCs w:val="28"/>
        </w:rPr>
        <w:t>5</w:t>
      </w:r>
      <w:r w:rsidRPr="00854978">
        <w:rPr>
          <w:rFonts w:ascii="Times New Roman" w:hAnsi="Times New Roman"/>
          <w:color w:val="FF0000"/>
          <w:sz w:val="28"/>
          <w:szCs w:val="28"/>
        </w:rPr>
        <w:t xml:space="preserve"> году – 3 299,0 тыс</w:t>
      </w:r>
      <w:r>
        <w:rPr>
          <w:rFonts w:ascii="Times New Roman" w:hAnsi="Times New Roman"/>
          <w:sz w:val="28"/>
          <w:szCs w:val="28"/>
        </w:rPr>
        <w:t>. руб. х 0,2%).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Сумма</w:t>
      </w:r>
      <w:proofErr w:type="gramEnd"/>
      <w:r>
        <w:rPr>
          <w:rFonts w:ascii="Times New Roman" w:hAnsi="Times New Roman"/>
          <w:sz w:val="28"/>
          <w:szCs w:val="28"/>
        </w:rPr>
        <w:t xml:space="preserve"> прогнозируемая к поступлению в областной бюджет в 2026 году – 725,8 тыс. руб.);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на второй и третий год планового периода принимается на ур</w:t>
      </w:r>
      <w:r>
        <w:rPr>
          <w:rFonts w:ascii="Times New Roman" w:hAnsi="Times New Roman"/>
          <w:sz w:val="28"/>
          <w:szCs w:val="28"/>
        </w:rPr>
        <w:t>овне прогноза второго года планового периода.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b/>
          <w:sz w:val="28"/>
          <w:szCs w:val="28"/>
        </w:rPr>
        <w:t xml:space="preserve"> коду доходов 130 1 11 05326 10 0000 120 (</w:t>
      </w:r>
      <w:r>
        <w:rPr>
          <w:rFonts w:ascii="Times New Roman" w:hAnsi="Times New Roman"/>
          <w:sz w:val="28"/>
          <w:szCs w:val="28"/>
        </w:rPr>
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</w:t>
      </w:r>
      <w:r>
        <w:rPr>
          <w:rFonts w:ascii="Times New Roman" w:hAnsi="Times New Roman"/>
          <w:sz w:val="28"/>
          <w:szCs w:val="28"/>
        </w:rPr>
        <w:t>ятиями либо государственными или муниципальными учреждениями в отношении земельных участков, которые расположены в границах сельских поселений, которые находятся в федеральной собственности и осуществление полномочий по управлению и распоряжению которыми п</w:t>
      </w:r>
      <w:r>
        <w:rPr>
          <w:rFonts w:ascii="Times New Roman" w:hAnsi="Times New Roman"/>
          <w:sz w:val="28"/>
          <w:szCs w:val="28"/>
        </w:rPr>
        <w:t>ередано органам государственной власти субъектов Российской Федерации).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учетом заявлений, поступивших в министерство от юридических лиц об установлении сервитута на земельные участки лесного фонда, согласно заключенных соглашений ожидается поступление до</w:t>
      </w:r>
      <w:r>
        <w:rPr>
          <w:rFonts w:ascii="Times New Roman" w:hAnsi="Times New Roman"/>
          <w:sz w:val="28"/>
          <w:szCs w:val="28"/>
        </w:rPr>
        <w:t xml:space="preserve">ходов в текущем году в объеме 39,8 тыс. руб., или на уровне плановых назначений. Платежи имеют </w:t>
      </w:r>
      <w:r>
        <w:rPr>
          <w:rFonts w:ascii="Times New Roman" w:hAnsi="Times New Roman"/>
          <w:sz w:val="28"/>
          <w:szCs w:val="28"/>
        </w:rPr>
        <w:lastRenderedPageBreak/>
        <w:t>несистемный характер.</w:t>
      </w: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При прогнозировании данного вида доходов на очередной финансовый год и на плановый период применяется метод скользящей средней.</w:t>
      </w:r>
    </w:p>
    <w:p w:rsidR="00D22425" w:rsidRDefault="00DB0CA8">
      <w:pPr>
        <w:spacing w:after="0" w:line="240" w:lineRule="auto"/>
        <w:ind w:firstLine="45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Сумма</w:t>
      </w:r>
      <w:proofErr w:type="gramEnd"/>
      <w:r>
        <w:rPr>
          <w:rFonts w:ascii="Times New Roman" w:hAnsi="Times New Roman"/>
          <w:sz w:val="28"/>
          <w:szCs w:val="28"/>
        </w:rPr>
        <w:t xml:space="preserve"> прогн</w:t>
      </w:r>
      <w:r>
        <w:rPr>
          <w:rFonts w:ascii="Times New Roman" w:hAnsi="Times New Roman"/>
          <w:sz w:val="28"/>
          <w:szCs w:val="28"/>
        </w:rPr>
        <w:t>озируемая к поступлению в областной бюджет в:</w:t>
      </w:r>
    </w:p>
    <w:p w:rsidR="00D22425" w:rsidRDefault="00DB0CA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2026 году</w:t>
      </w:r>
      <w:r>
        <w:rPr>
          <w:rFonts w:ascii="Times New Roman" w:hAnsi="Times New Roman"/>
          <w:sz w:val="28"/>
          <w:szCs w:val="28"/>
        </w:rPr>
        <w:t xml:space="preserve">: (0+18,2+39,8)/3= </w:t>
      </w:r>
      <w:r>
        <w:rPr>
          <w:rFonts w:ascii="Times New Roman" w:hAnsi="Times New Roman"/>
          <w:b/>
          <w:sz w:val="28"/>
          <w:szCs w:val="28"/>
        </w:rPr>
        <w:t xml:space="preserve">19,3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>;</w:t>
      </w:r>
    </w:p>
    <w:p w:rsidR="00D22425" w:rsidRDefault="00DB0CA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2027 году</w:t>
      </w:r>
      <w:r>
        <w:rPr>
          <w:rFonts w:ascii="Times New Roman" w:hAnsi="Times New Roman"/>
          <w:sz w:val="28"/>
          <w:szCs w:val="28"/>
        </w:rPr>
        <w:t xml:space="preserve">: (18,2+39,8+19,3)/3= </w:t>
      </w:r>
      <w:r>
        <w:rPr>
          <w:rFonts w:ascii="Times New Roman" w:hAnsi="Times New Roman"/>
          <w:b/>
          <w:sz w:val="28"/>
          <w:szCs w:val="28"/>
        </w:rPr>
        <w:t xml:space="preserve">25,8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>;</w:t>
      </w:r>
    </w:p>
    <w:p w:rsidR="00D22425" w:rsidRDefault="00DB0CA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2028 году</w:t>
      </w:r>
      <w:r>
        <w:rPr>
          <w:rFonts w:ascii="Times New Roman" w:hAnsi="Times New Roman"/>
          <w:sz w:val="28"/>
          <w:szCs w:val="28"/>
        </w:rPr>
        <w:t xml:space="preserve">: (39,8+19,3+25,8)/3= </w:t>
      </w:r>
      <w:r>
        <w:rPr>
          <w:rFonts w:ascii="Times New Roman" w:hAnsi="Times New Roman"/>
          <w:b/>
          <w:sz w:val="28"/>
          <w:szCs w:val="28"/>
        </w:rPr>
        <w:t xml:space="preserve">28,3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b/>
          <w:sz w:val="28"/>
          <w:szCs w:val="28"/>
        </w:rPr>
        <w:t xml:space="preserve"> коду доходов 130 1 11 05430 10 0000 120 </w:t>
      </w:r>
      <w:r>
        <w:rPr>
          <w:rFonts w:ascii="Times New Roman" w:hAnsi="Times New Roman"/>
          <w:sz w:val="28"/>
          <w:szCs w:val="28"/>
        </w:rPr>
        <w:t>(Плата за публичный сервит</w:t>
      </w:r>
      <w:r>
        <w:rPr>
          <w:rFonts w:ascii="Times New Roman" w:hAnsi="Times New Roman"/>
          <w:sz w:val="28"/>
          <w:szCs w:val="28"/>
        </w:rPr>
        <w:t>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сельских поселений, находятся в федеральной собственности и осуществление полномочий Российской Федераци</w:t>
      </w:r>
      <w:r>
        <w:rPr>
          <w:rFonts w:ascii="Times New Roman" w:hAnsi="Times New Roman"/>
          <w:sz w:val="28"/>
          <w:szCs w:val="28"/>
        </w:rPr>
        <w:t>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</w:t>
      </w:r>
      <w:r>
        <w:rPr>
          <w:rFonts w:ascii="Times New Roman" w:hAnsi="Times New Roman"/>
          <w:sz w:val="28"/>
          <w:szCs w:val="28"/>
        </w:rPr>
        <w:t>оуправления (муниципальных органов), органов управления государственными внебюджетными фондами и казенных учреждений)).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Платежи имеют несистемный характер. Прогноз данного вида доходов на очередной финансовый год является ориентировочным, приблизительным, </w:t>
      </w:r>
      <w:r>
        <w:rPr>
          <w:rFonts w:ascii="Times New Roman" w:hAnsi="Times New Roman"/>
          <w:sz w:val="28"/>
          <w:szCs w:val="28"/>
        </w:rPr>
        <w:t>с учетом поступивших заявлений от юридических лиц в текущем году, ожидаемое поступление в 2025 году составляет 25,1тыс. руб.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При прогнозировании данного вида доходов на очередной финансовый год и на плановый период применяется метод скользящей средней.</w:t>
      </w:r>
    </w:p>
    <w:p w:rsidR="00D22425" w:rsidRDefault="00DB0CA8">
      <w:pPr>
        <w:spacing w:after="0" w:line="240" w:lineRule="auto"/>
        <w:ind w:firstLine="45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Су</w:t>
      </w:r>
      <w:r>
        <w:rPr>
          <w:rFonts w:ascii="Times New Roman" w:hAnsi="Times New Roman"/>
          <w:sz w:val="28"/>
          <w:szCs w:val="28"/>
        </w:rPr>
        <w:t>мма</w:t>
      </w:r>
      <w:proofErr w:type="gramEnd"/>
      <w:r>
        <w:rPr>
          <w:rFonts w:ascii="Times New Roman" w:hAnsi="Times New Roman"/>
          <w:sz w:val="28"/>
          <w:szCs w:val="28"/>
        </w:rPr>
        <w:t xml:space="preserve"> прогнозируемая к поступлению в областной бюджет в:</w:t>
      </w:r>
    </w:p>
    <w:p w:rsidR="00D22425" w:rsidRDefault="00DB0CA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2026 году</w:t>
      </w:r>
      <w:r>
        <w:rPr>
          <w:rFonts w:ascii="Times New Roman" w:hAnsi="Times New Roman"/>
          <w:sz w:val="28"/>
          <w:szCs w:val="28"/>
        </w:rPr>
        <w:t xml:space="preserve">: (0+1,9+25,1)/3= </w:t>
      </w:r>
      <w:r>
        <w:rPr>
          <w:rFonts w:ascii="Times New Roman" w:hAnsi="Times New Roman"/>
          <w:b/>
          <w:sz w:val="28"/>
          <w:szCs w:val="28"/>
        </w:rPr>
        <w:t xml:space="preserve">9,0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>;</w:t>
      </w:r>
    </w:p>
    <w:p w:rsidR="00D22425" w:rsidRDefault="00DB0CA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2027 году</w:t>
      </w:r>
      <w:r>
        <w:rPr>
          <w:rFonts w:ascii="Times New Roman" w:hAnsi="Times New Roman"/>
          <w:sz w:val="28"/>
          <w:szCs w:val="28"/>
        </w:rPr>
        <w:t>: (1,9+25,1+9,0)/3=</w:t>
      </w:r>
      <w:r>
        <w:rPr>
          <w:rFonts w:ascii="Times New Roman" w:hAnsi="Times New Roman"/>
          <w:b/>
          <w:sz w:val="28"/>
          <w:szCs w:val="28"/>
        </w:rPr>
        <w:t xml:space="preserve"> 12,0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>;</w:t>
      </w:r>
    </w:p>
    <w:p w:rsidR="00D22425" w:rsidRDefault="00DB0CA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2028 году</w:t>
      </w:r>
      <w:r>
        <w:rPr>
          <w:rFonts w:ascii="Times New Roman" w:hAnsi="Times New Roman"/>
          <w:sz w:val="28"/>
          <w:szCs w:val="28"/>
        </w:rPr>
        <w:t xml:space="preserve">: (25,1+9,0+12,0)/3= </w:t>
      </w:r>
      <w:r>
        <w:rPr>
          <w:rFonts w:ascii="Times New Roman" w:hAnsi="Times New Roman"/>
          <w:b/>
          <w:bCs/>
          <w:sz w:val="28"/>
          <w:szCs w:val="28"/>
        </w:rPr>
        <w:t>15,3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D22425" w:rsidRDefault="00DB0CA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b/>
          <w:sz w:val="28"/>
          <w:szCs w:val="28"/>
        </w:rPr>
        <w:t xml:space="preserve"> коду доходов 130 1 11 05430 14 0000 120 </w:t>
      </w:r>
      <w:r>
        <w:rPr>
          <w:rFonts w:ascii="Times New Roman" w:hAnsi="Times New Roman"/>
          <w:sz w:val="28"/>
          <w:szCs w:val="28"/>
        </w:rPr>
        <w:t>(Плата за публичный се</w:t>
      </w:r>
      <w:r>
        <w:rPr>
          <w:rFonts w:ascii="Times New Roman" w:hAnsi="Times New Roman"/>
          <w:sz w:val="28"/>
          <w:szCs w:val="28"/>
        </w:rPr>
        <w:t>рвитут, предусмотренная решением уполномоченного органа об установлении публичного сервитута в отношении земельных участков, которые расположены в границах муниципальных округов, находятся в федеральной собственности и осуществление полномочий Российской Ф</w:t>
      </w:r>
      <w:r>
        <w:rPr>
          <w:rFonts w:ascii="Times New Roman" w:hAnsi="Times New Roman"/>
          <w:sz w:val="28"/>
          <w:szCs w:val="28"/>
        </w:rPr>
        <w:t>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</w:t>
      </w:r>
      <w:r>
        <w:rPr>
          <w:rFonts w:ascii="Times New Roman" w:hAnsi="Times New Roman"/>
          <w:sz w:val="28"/>
          <w:szCs w:val="28"/>
        </w:rPr>
        <w:t>ого самоуправления (муниципальных органов), органов управления государственными внебюджетными фондами и казенных учреждений)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Платежи имеют несистемный характер. Прогноз данного вида доходов на очередной финансовый год является ориентировочным, приблизитель</w:t>
      </w:r>
      <w:r>
        <w:rPr>
          <w:rFonts w:ascii="Times New Roman" w:hAnsi="Times New Roman"/>
          <w:sz w:val="28"/>
          <w:szCs w:val="28"/>
        </w:rPr>
        <w:t>ным, с учетом поступивших заявлений от юридических лиц в текущем году, фактическое и ожидаемое поступление в 2025 году составляет 4,1 тыс. руб.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8"/>
          <w:szCs w:val="28"/>
        </w:rPr>
        <w:t>При прогнозировании данного вида доходов на очередной финансовый год и на плановый период применяется метод ско</w:t>
      </w:r>
      <w:r>
        <w:rPr>
          <w:rFonts w:ascii="Times New Roman" w:hAnsi="Times New Roman"/>
          <w:sz w:val="28"/>
          <w:szCs w:val="28"/>
        </w:rPr>
        <w:t>льзящей средней.</w:t>
      </w:r>
    </w:p>
    <w:p w:rsidR="00D22425" w:rsidRDefault="00DB0CA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2026 году</w:t>
      </w:r>
      <w:r>
        <w:rPr>
          <w:rFonts w:ascii="Times New Roman" w:hAnsi="Times New Roman"/>
          <w:sz w:val="28"/>
          <w:szCs w:val="28"/>
        </w:rPr>
        <w:t xml:space="preserve">: (0+0+4,1)/3= </w:t>
      </w:r>
      <w:r>
        <w:rPr>
          <w:rFonts w:ascii="Times New Roman" w:hAnsi="Times New Roman"/>
          <w:b/>
          <w:sz w:val="28"/>
          <w:szCs w:val="28"/>
        </w:rPr>
        <w:t xml:space="preserve">1,4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>;</w:t>
      </w:r>
    </w:p>
    <w:p w:rsidR="00D22425" w:rsidRDefault="00DB0CA8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2027 году</w:t>
      </w:r>
      <w:r>
        <w:rPr>
          <w:rFonts w:ascii="Times New Roman" w:hAnsi="Times New Roman"/>
          <w:sz w:val="28"/>
          <w:szCs w:val="28"/>
        </w:rPr>
        <w:t>: (0+4,1+1,4)/3=</w:t>
      </w:r>
      <w:r>
        <w:rPr>
          <w:rFonts w:ascii="Times New Roman" w:hAnsi="Times New Roman"/>
          <w:b/>
          <w:sz w:val="28"/>
          <w:szCs w:val="28"/>
        </w:rPr>
        <w:t xml:space="preserve"> 1,8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>;</w:t>
      </w:r>
    </w:p>
    <w:p w:rsidR="00D22425" w:rsidRDefault="00DB0CA8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2028 году</w:t>
      </w:r>
      <w:r>
        <w:rPr>
          <w:rFonts w:ascii="Times New Roman" w:hAnsi="Times New Roman"/>
          <w:sz w:val="28"/>
          <w:szCs w:val="28"/>
        </w:rPr>
        <w:t xml:space="preserve">: (4,1+1,4+1,8)/3= </w:t>
      </w:r>
      <w:r>
        <w:rPr>
          <w:rFonts w:ascii="Times New Roman" w:hAnsi="Times New Roman"/>
          <w:b/>
          <w:bCs/>
          <w:sz w:val="28"/>
          <w:szCs w:val="28"/>
        </w:rPr>
        <w:t xml:space="preserve">2,4 </w:t>
      </w:r>
      <w:proofErr w:type="spellStart"/>
      <w:proofErr w:type="gramStart"/>
      <w:r>
        <w:rPr>
          <w:rFonts w:ascii="Times New Roman" w:hAnsi="Times New Roman"/>
          <w:b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b/>
          <w:sz w:val="28"/>
          <w:szCs w:val="28"/>
        </w:rPr>
        <w:t>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коду доходов 130 1 12 02012 01 0000 120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(Разовые платежи за пользование недрами при наступлении определенных событий, оговоренных в </w:t>
      </w:r>
      <w:r>
        <w:rPr>
          <w:rFonts w:ascii="Times New Roman" w:hAnsi="Times New Roman"/>
          <w:sz w:val="28"/>
          <w:szCs w:val="28"/>
        </w:rPr>
        <w:lastRenderedPageBreak/>
        <w:t>лицензии, при пользовании недрами на территории Российской Федерации по участкам недр местного значения).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на 2025 год утвержден в сумме 15 000,0 тыс. руб., в о</w:t>
      </w:r>
      <w:r>
        <w:rPr>
          <w:rFonts w:ascii="Times New Roman" w:hAnsi="Times New Roman"/>
          <w:sz w:val="28"/>
          <w:szCs w:val="28"/>
        </w:rPr>
        <w:t xml:space="preserve">тчетном периоде </w:t>
      </w:r>
      <w:bookmarkStart w:id="0" w:name="_GoBack"/>
      <w:r>
        <w:rPr>
          <w:rFonts w:ascii="Times New Roman" w:hAnsi="Times New Roman"/>
          <w:sz w:val="28"/>
          <w:szCs w:val="28"/>
        </w:rPr>
        <w:t>проведено 4 аукцион на право пользования участками недр местного значения, содержащими общераспространенные полезные ископаемые. До конца 2025 года планируется проведение не менее шести аукционов</w:t>
      </w:r>
      <w:bookmarkEnd w:id="0"/>
      <w:r>
        <w:rPr>
          <w:rFonts w:ascii="Times New Roman" w:hAnsi="Times New Roman"/>
          <w:sz w:val="28"/>
          <w:szCs w:val="28"/>
        </w:rPr>
        <w:t>. Ожидаемое поступление доходов по данному ко</w:t>
      </w:r>
      <w:r>
        <w:rPr>
          <w:rFonts w:ascii="Times New Roman" w:hAnsi="Times New Roman"/>
          <w:sz w:val="28"/>
          <w:szCs w:val="28"/>
        </w:rPr>
        <w:t xml:space="preserve">ду доходов в 2025 году составляет 15 000,0 тыс. руб. </w:t>
      </w:r>
    </w:p>
    <w:p w:rsidR="00D22425" w:rsidRDefault="00DB0C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Расчет прогноза поступлений разовых платежей за пользование недрами при наступлении определенных событий, оговоренных в лицензии, при пользовании недрами по участкам недр местного значения, производится</w:t>
      </w:r>
      <w:r>
        <w:rPr>
          <w:rFonts w:ascii="Times New Roman" w:hAnsi="Times New Roman"/>
          <w:sz w:val="28"/>
          <w:szCs w:val="28"/>
          <w:lang w:eastAsia="ru-RU"/>
        </w:rPr>
        <w:t xml:space="preserve"> по формуле:</w:t>
      </w:r>
    </w:p>
    <w:p w:rsidR="00D22425" w:rsidRDefault="00DB0CA8">
      <w:pPr>
        <w:tabs>
          <w:tab w:val="left" w:pos="6383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Сраз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= К</w:t>
      </w:r>
      <w:r>
        <w:rPr>
          <w:rFonts w:ascii="Times New Roman" w:hAnsi="Times New Roman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х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s'min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где:</w:t>
      </w: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D22425" w:rsidRDefault="00DB0C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Сраз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- прогнозируемая сумма разовых платежей за пользование недрами, (рублей за год);</w:t>
      </w:r>
    </w:p>
    <w:p w:rsidR="00D22425" w:rsidRDefault="00DB0C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>
        <w:rPr>
          <w:rFonts w:ascii="Times New Roman" w:hAnsi="Times New Roman"/>
          <w:lang w:eastAsia="ru-RU"/>
        </w:rPr>
        <w:t>А</w:t>
      </w:r>
      <w:r>
        <w:rPr>
          <w:rFonts w:ascii="Times New Roman" w:hAnsi="Times New Roman"/>
          <w:sz w:val="28"/>
          <w:szCs w:val="28"/>
          <w:lang w:eastAsia="ru-RU"/>
        </w:rPr>
        <w:t xml:space="preserve"> – количество планируемых аукционов, (шт. за год);</w:t>
      </w:r>
    </w:p>
    <w:p w:rsidR="00D22425" w:rsidRDefault="00DB0C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s'min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среднее значение минимального (стартового) размера разового платежа за </w:t>
      </w:r>
      <w:r>
        <w:rPr>
          <w:rFonts w:ascii="Times New Roman" w:hAnsi="Times New Roman"/>
          <w:sz w:val="28"/>
          <w:szCs w:val="28"/>
          <w:lang w:eastAsia="ru-RU"/>
        </w:rPr>
        <w:t>пользование недрами, (рублей по итогам прошедшего года).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доходов на 2026-2028 годы рассчитан с учетом динамики развития отрасли и насыщения региона производимой продукцией. </w:t>
      </w:r>
    </w:p>
    <w:p w:rsidR="00D22425" w:rsidRDefault="00DB0CA8">
      <w:pPr>
        <w:spacing w:after="0" w:line="240" w:lineRule="auto"/>
        <w:ind w:firstLine="45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Объем доходов, прогнозируемый к поступлению в областной бюджет в 2026-2028</w:t>
      </w:r>
      <w:r>
        <w:rPr>
          <w:rFonts w:ascii="Times New Roman" w:hAnsi="Times New Roman"/>
          <w:sz w:val="28"/>
          <w:szCs w:val="28"/>
        </w:rPr>
        <w:t xml:space="preserve"> годах </w:t>
      </w:r>
      <w:proofErr w:type="gramStart"/>
      <w:r>
        <w:rPr>
          <w:rFonts w:ascii="Times New Roman" w:hAnsi="Times New Roman"/>
          <w:sz w:val="28"/>
          <w:szCs w:val="28"/>
        </w:rPr>
        <w:t>согласно расчета</w:t>
      </w:r>
      <w:proofErr w:type="gramEnd"/>
      <w:r>
        <w:rPr>
          <w:rFonts w:ascii="Times New Roman" w:hAnsi="Times New Roman"/>
          <w:sz w:val="28"/>
          <w:szCs w:val="28"/>
        </w:rPr>
        <w:t xml:space="preserve"> составляет 15 000,0 тыс. руб.- ежегодно, из расчета: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 аукционов х 1 500,0 тыс. руб.= 15 000,0 тыс. рублей. Прогноз на второй и третий годы планового периода принимается на уровне прогноза первого года планового периода.</w:t>
      </w:r>
    </w:p>
    <w:p w:rsidR="00D22425" w:rsidRDefault="00DB0CA8">
      <w:pPr>
        <w:tabs>
          <w:tab w:val="left" w:pos="1875"/>
        </w:tabs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коду до</w:t>
      </w:r>
      <w:r>
        <w:rPr>
          <w:rFonts w:ascii="Times New Roman" w:hAnsi="Times New Roman"/>
          <w:b/>
          <w:sz w:val="28"/>
          <w:szCs w:val="28"/>
        </w:rPr>
        <w:t>ходов 130 1 12 02052 01 0000 120</w:t>
      </w:r>
      <w:r>
        <w:rPr>
          <w:rFonts w:ascii="Times New Roman" w:hAnsi="Times New Roman"/>
          <w:sz w:val="24"/>
          <w:szCs w:val="24"/>
        </w:rPr>
        <w:t xml:space="preserve"> (</w:t>
      </w:r>
      <w:r>
        <w:rPr>
          <w:rFonts w:ascii="Times New Roman" w:hAnsi="Times New Roman"/>
          <w:sz w:val="28"/>
          <w:szCs w:val="28"/>
        </w:rPr>
        <w:t>Плата за проведение государственной экспертизы запасов полезных ископаемых, геологической, экономической и экологической информации о предоставляемых в пользование участках недр местного значения).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22425" w:rsidRDefault="00DB0CA8">
      <w:pPr>
        <w:tabs>
          <w:tab w:val="left" w:pos="187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на 2025 год утверж</w:t>
      </w:r>
      <w:r>
        <w:rPr>
          <w:rFonts w:ascii="Times New Roman" w:hAnsi="Times New Roman"/>
          <w:sz w:val="28"/>
          <w:szCs w:val="28"/>
        </w:rPr>
        <w:t>ден в сумме 375,0 тыс. руб., фактическое поступление за 5 месяцев 2025 года составляет 535,0 тыс. руб., или 143% годовых плановых назначений, проведено 20 государственных экспертиз запасов полезных ископаемых.</w:t>
      </w:r>
    </w:p>
    <w:p w:rsidR="00D22425" w:rsidRDefault="00DB0CA8">
      <w:pPr>
        <w:tabs>
          <w:tab w:val="left" w:pos="187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Ожидаемое поступление доходов в 2025 году – 63</w:t>
      </w:r>
      <w:r>
        <w:rPr>
          <w:rFonts w:ascii="Times New Roman" w:hAnsi="Times New Roman"/>
          <w:sz w:val="28"/>
          <w:szCs w:val="28"/>
        </w:rPr>
        <w:t xml:space="preserve">5,0 тыс. руб. рассчитано с учетом лицензий, выданных с целью геологического изучения, срок проведения экспертизы запасов по которым наступает в текущем году и зависит от своевременного предоставления предприятиями материалов для экспертизы (в текущем году </w:t>
      </w:r>
      <w:r>
        <w:rPr>
          <w:rFonts w:ascii="Times New Roman" w:hAnsi="Times New Roman"/>
          <w:sz w:val="28"/>
          <w:szCs w:val="28"/>
        </w:rPr>
        <w:t>планируется проведение еще 4-х экспертиз: 4 х 25,0 = 100,0 тыс. руб.).</w:t>
      </w:r>
    </w:p>
    <w:p w:rsidR="00D22425" w:rsidRDefault="00DB0CA8">
      <w:pPr>
        <w:tabs>
          <w:tab w:val="left" w:pos="1875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Прогноз поступлений на очередной финансовый год и на плановый период определяется расчетным путем, с учетом показателей, влияющих на сумму прогнозируемого дохода (единовременных поступл</w:t>
      </w:r>
      <w:r>
        <w:rPr>
          <w:rFonts w:ascii="Times New Roman" w:hAnsi="Times New Roman"/>
          <w:sz w:val="28"/>
          <w:szCs w:val="28"/>
          <w:lang w:eastAsia="ru-RU"/>
        </w:rPr>
        <w:t>ений) по прямому методу расчета по формуле:</w:t>
      </w:r>
    </w:p>
    <w:p w:rsidR="00D22425" w:rsidRDefault="00DB0CA8">
      <w:pPr>
        <w:tabs>
          <w:tab w:val="left" w:pos="1875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Сэк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=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Кэк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х </w:t>
      </w:r>
      <w:proofErr w:type="spellStart"/>
      <w:r>
        <w:rPr>
          <w:rFonts w:ascii="Times New Roman" w:hAnsi="Times New Roman"/>
          <w:sz w:val="28"/>
          <w:szCs w:val="28"/>
          <w:lang w:eastAsia="ru-RU"/>
        </w:rPr>
        <w:t>s'эк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>, где</w:t>
      </w:r>
    </w:p>
    <w:p w:rsidR="00D22425" w:rsidRDefault="00DB0CA8">
      <w:pPr>
        <w:tabs>
          <w:tab w:val="left" w:pos="1875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t>Кэк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количество планируемых экспертиз, единиц;</w:t>
      </w:r>
    </w:p>
    <w:p w:rsidR="00D22425" w:rsidRDefault="00DB0CA8">
      <w:pPr>
        <w:tabs>
          <w:tab w:val="left" w:pos="1875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hAnsi="Times New Roman"/>
          <w:sz w:val="28"/>
          <w:szCs w:val="28"/>
          <w:lang w:eastAsia="ru-RU"/>
        </w:rPr>
        <w:lastRenderedPageBreak/>
        <w:t>s'эк</w:t>
      </w:r>
      <w:proofErr w:type="spellEnd"/>
      <w:r>
        <w:rPr>
          <w:rFonts w:ascii="Times New Roman" w:hAnsi="Times New Roman"/>
          <w:sz w:val="28"/>
          <w:szCs w:val="28"/>
          <w:lang w:eastAsia="ru-RU"/>
        </w:rPr>
        <w:t xml:space="preserve"> – среднее значение размера платы за проведение государственной экспертизы, тыс. рублей</w:t>
      </w:r>
      <w:r>
        <w:t xml:space="preserve"> (</w:t>
      </w:r>
      <w:r>
        <w:rPr>
          <w:rFonts w:ascii="Times New Roman" w:hAnsi="Times New Roman"/>
          <w:sz w:val="28"/>
          <w:szCs w:val="28"/>
          <w:lang w:eastAsia="ru-RU"/>
        </w:rPr>
        <w:t>по итогам прошедшего года).</w:t>
      </w:r>
    </w:p>
    <w:p w:rsidR="00D22425" w:rsidRDefault="00DB0CA8">
      <w:pPr>
        <w:tabs>
          <w:tab w:val="left" w:pos="1875"/>
        </w:tabs>
        <w:spacing w:after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Расчет среднего значение размера платы за проведение государственной экспертизы производится методом экстраполяции или методом усреднения.</w:t>
      </w:r>
    </w:p>
    <w:p w:rsidR="00D22425" w:rsidRDefault="00DB0CA8">
      <w:pPr>
        <w:tabs>
          <w:tab w:val="left" w:pos="187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доходов на 2026-2028 годы рассчитан с учетом срока предоставления материалов на экспертизу (срока действия ли</w:t>
      </w:r>
      <w:r>
        <w:rPr>
          <w:rFonts w:ascii="Times New Roman" w:hAnsi="Times New Roman"/>
          <w:sz w:val="28"/>
          <w:szCs w:val="28"/>
        </w:rPr>
        <w:t>цензии), в соответствии с условиями пользования недрами 15 лицензий на геологическое изучение и составит 375,0 тыс. рублей ежегодно:</w:t>
      </w:r>
    </w:p>
    <w:p w:rsidR="00D22425" w:rsidRDefault="00DB0CA8">
      <w:pPr>
        <w:tabs>
          <w:tab w:val="left" w:pos="1875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 экспертиз х 25,0 тыс. руб.=375,0 тыс. рублей.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коду доходов 130 1 12 02102 02 0000 120</w:t>
      </w:r>
      <w:r>
        <w:t xml:space="preserve"> (</w:t>
      </w:r>
      <w:r>
        <w:rPr>
          <w:rFonts w:ascii="Times New Roman" w:hAnsi="Times New Roman"/>
          <w:sz w:val="28"/>
          <w:szCs w:val="28"/>
        </w:rPr>
        <w:t>Сборы за участие в конкурсе (а</w:t>
      </w:r>
      <w:r>
        <w:rPr>
          <w:rFonts w:ascii="Times New Roman" w:hAnsi="Times New Roman"/>
          <w:sz w:val="28"/>
          <w:szCs w:val="28"/>
        </w:rPr>
        <w:t>укционе) на право пользования участками недр местного значения).</w:t>
      </w:r>
    </w:p>
    <w:p w:rsidR="00D22425" w:rsidRDefault="00DB0CA8">
      <w:pPr>
        <w:tabs>
          <w:tab w:val="left" w:pos="1875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на 2025 год утвержден в сумме 600,0 тыс. руб. Ожидаемое поступление доходов по данному коду доходов в 2025 году составляет 600,0 тыс. руб. </w:t>
      </w:r>
    </w:p>
    <w:p w:rsidR="00D22425" w:rsidRDefault="00DB0CA8">
      <w:pPr>
        <w:pStyle w:val="a4"/>
        <w:ind w:firstLine="4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Прогнозируемая сумма доходов от сборов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 учас</w:t>
      </w:r>
      <w:r>
        <w:rPr>
          <w:rFonts w:ascii="Times New Roman" w:hAnsi="Times New Roman"/>
          <w:sz w:val="28"/>
          <w:szCs w:val="28"/>
        </w:rPr>
        <w:t xml:space="preserve">тие в аукционах </w:t>
      </w:r>
      <w:proofErr w:type="spellStart"/>
      <w:r>
        <w:rPr>
          <w:rFonts w:ascii="Times New Roman" w:hAnsi="Times New Roman"/>
          <w:sz w:val="28"/>
          <w:szCs w:val="28"/>
        </w:rPr>
        <w:t>расчитывается</w:t>
      </w:r>
      <w:proofErr w:type="spellEnd"/>
      <w:r>
        <w:rPr>
          <w:rFonts w:ascii="Times New Roman" w:hAnsi="Times New Roman"/>
          <w:sz w:val="28"/>
          <w:szCs w:val="28"/>
        </w:rPr>
        <w:t xml:space="preserve"> по формуле:</w:t>
      </w:r>
    </w:p>
    <w:p w:rsidR="00D22425" w:rsidRDefault="00DB0CA8">
      <w:pPr>
        <w:pStyle w:val="a4"/>
        <w:ind w:firstLine="45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Ссборы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= КА х У х Р, где:</w:t>
      </w:r>
    </w:p>
    <w:p w:rsidR="00D22425" w:rsidRDefault="00DB0CA8">
      <w:pPr>
        <w:pStyle w:val="a4"/>
        <w:ind w:firstLine="45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Ссборы</w:t>
      </w:r>
      <w:proofErr w:type="spellEnd"/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- прогнозируемая сумма доходов от сборов за участие в аукционах (рублей за год);</w:t>
      </w:r>
    </w:p>
    <w:p w:rsidR="00D22425" w:rsidRDefault="00DB0CA8">
      <w:pPr>
        <w:pStyle w:val="a4"/>
        <w:ind w:firstLine="45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КА – количество планируемых аукционов, (шт. за год);</w:t>
      </w:r>
    </w:p>
    <w:p w:rsidR="00D22425" w:rsidRDefault="00DB0CA8">
      <w:pPr>
        <w:pStyle w:val="a4"/>
        <w:ind w:firstLine="45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У – среднее количество участников на один аукци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он (шт. по итогам прошедшего года);</w:t>
      </w:r>
    </w:p>
    <w:p w:rsidR="00D22425" w:rsidRDefault="00DB0CA8">
      <w:pPr>
        <w:pStyle w:val="a4"/>
        <w:ind w:firstLine="45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 - размер сбора за участие в аукционе на право пользования участком недр местного значения для одного заявителя, (тыс. руб.).</w:t>
      </w:r>
    </w:p>
    <w:p w:rsidR="00D22425" w:rsidRDefault="00DB0CA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рассчитан с учетом перечня участков недр местного значения, планируемого </w:t>
      </w:r>
      <w:proofErr w:type="gramStart"/>
      <w:r>
        <w:rPr>
          <w:rFonts w:ascii="Times New Roman" w:hAnsi="Times New Roman"/>
          <w:sz w:val="28"/>
          <w:szCs w:val="28"/>
        </w:rPr>
        <w:t>к предоставл</w:t>
      </w:r>
      <w:r>
        <w:rPr>
          <w:rFonts w:ascii="Times New Roman" w:hAnsi="Times New Roman"/>
          <w:sz w:val="28"/>
          <w:szCs w:val="28"/>
        </w:rPr>
        <w:t>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и зависит от того, как будет востребован тот или иной участок недр по 600,0 тыс. рублей из расчета:</w:t>
      </w:r>
    </w:p>
    <w:p w:rsidR="00D22425" w:rsidRDefault="00DB0C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 аукционов х 1 участник х 40,0 тыс. руб. =600,0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доходов на рассчитан с учетом динамики развития отрасли и насыщения региона произ</w:t>
      </w:r>
      <w:r>
        <w:rPr>
          <w:rFonts w:ascii="Times New Roman" w:hAnsi="Times New Roman"/>
          <w:sz w:val="28"/>
          <w:szCs w:val="28"/>
        </w:rPr>
        <w:t xml:space="preserve">водимой продукцией. 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на второй и третий годы планового периода принимается на уровне прогноза первого года планового периода.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коду доходов 130 1 12 04013 02 0000 120</w:t>
      </w:r>
      <w:r>
        <w:rPr>
          <w:rFonts w:ascii="Times New Roman" w:hAnsi="Times New Roman"/>
          <w:sz w:val="28"/>
          <w:szCs w:val="28"/>
        </w:rPr>
        <w:t xml:space="preserve"> (Плата за использование лесов, расположенных на землях лесного фонда, в части, </w:t>
      </w:r>
      <w:r>
        <w:rPr>
          <w:rFonts w:ascii="Times New Roman" w:hAnsi="Times New Roman"/>
          <w:sz w:val="28"/>
          <w:szCs w:val="28"/>
        </w:rPr>
        <w:t>превышающей минимальный размер платы по договору купли-продажи лесных насаждений).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на 2025 год утвержден в сумме 37 565,00 тыс. руб. Фактическое поступление за 5 месяцев 2025 года составляет 4 088,8 тыс. руб., или 11% годовых плановых назначений.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Ожид</w:t>
      </w:r>
      <w:r>
        <w:rPr>
          <w:rFonts w:ascii="Times New Roman" w:hAnsi="Times New Roman"/>
          <w:sz w:val="28"/>
          <w:szCs w:val="28"/>
        </w:rPr>
        <w:t>аемое поступление доходов в 2025 году – 37 565,0 тыс. руб., рассчитано с учетом максимального объема заготовки древесины по договорам купли-продажи лесных насаждений, заключаемых с субъектами для малого и среднего предпринимательства, средней ставки за еди</w:t>
      </w:r>
      <w:r>
        <w:rPr>
          <w:rFonts w:ascii="Times New Roman" w:hAnsi="Times New Roman"/>
          <w:sz w:val="28"/>
          <w:szCs w:val="28"/>
        </w:rPr>
        <w:t>ницу объема и коэффициента индексации ставок платы.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прогноза поступлений платы за использование лесов, расположенных на землях лесного фонда, в части, превышающей минимальный </w:t>
      </w:r>
      <w:r>
        <w:rPr>
          <w:rFonts w:ascii="Times New Roman" w:hAnsi="Times New Roman"/>
          <w:sz w:val="28"/>
          <w:szCs w:val="28"/>
        </w:rPr>
        <w:lastRenderedPageBreak/>
        <w:t xml:space="preserve">размер платы по договору </w:t>
      </w:r>
      <w:proofErr w:type="gramStart"/>
      <w:r>
        <w:rPr>
          <w:rFonts w:ascii="Times New Roman" w:hAnsi="Times New Roman"/>
          <w:sz w:val="28"/>
          <w:szCs w:val="28"/>
        </w:rPr>
        <w:t>купли-продажи лесных насаждений</w:t>
      </w:r>
      <w:proofErr w:type="gramEnd"/>
      <w:r>
        <w:rPr>
          <w:rFonts w:ascii="Times New Roman" w:hAnsi="Times New Roman"/>
          <w:sz w:val="28"/>
          <w:szCs w:val="28"/>
        </w:rPr>
        <w:t xml:space="preserve"> производится по ф</w:t>
      </w:r>
      <w:r>
        <w:rPr>
          <w:rFonts w:ascii="Times New Roman" w:hAnsi="Times New Roman"/>
          <w:sz w:val="28"/>
          <w:szCs w:val="28"/>
        </w:rPr>
        <w:t>ормуле: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Пк-пр</w:t>
      </w:r>
      <w:proofErr w:type="spellEnd"/>
      <w:r>
        <w:rPr>
          <w:rFonts w:ascii="Times New Roman" w:hAnsi="Times New Roman"/>
          <w:sz w:val="28"/>
          <w:szCs w:val="28"/>
        </w:rPr>
        <w:t xml:space="preserve"> мах = (СQ к-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*К</w:t>
      </w:r>
      <w:proofErr w:type="gramStart"/>
      <w:r>
        <w:rPr>
          <w:rFonts w:ascii="Times New Roman" w:hAnsi="Times New Roman"/>
          <w:sz w:val="28"/>
          <w:szCs w:val="28"/>
        </w:rPr>
        <w:t>1)*</w:t>
      </w:r>
      <w:proofErr w:type="gramEnd"/>
      <w:r>
        <w:rPr>
          <w:rFonts w:ascii="Times New Roman" w:hAnsi="Times New Roman"/>
          <w:sz w:val="28"/>
          <w:szCs w:val="28"/>
        </w:rPr>
        <w:t xml:space="preserve"> Q </w:t>
      </w:r>
      <w:proofErr w:type="spellStart"/>
      <w:r>
        <w:rPr>
          <w:rFonts w:ascii="Times New Roman" w:hAnsi="Times New Roman"/>
          <w:sz w:val="28"/>
          <w:szCs w:val="28"/>
        </w:rPr>
        <w:t>срк-пр</w:t>
      </w:r>
      <w:proofErr w:type="spellEnd"/>
      <w:r>
        <w:rPr>
          <w:rFonts w:ascii="Times New Roman" w:hAnsi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/>
          <w:sz w:val="28"/>
          <w:szCs w:val="28"/>
        </w:rPr>
        <w:t>Zср</w:t>
      </w:r>
      <w:proofErr w:type="spellEnd"/>
      <w:r>
        <w:rPr>
          <w:rFonts w:ascii="Times New Roman" w:hAnsi="Times New Roman"/>
          <w:sz w:val="28"/>
          <w:szCs w:val="28"/>
        </w:rPr>
        <w:t xml:space="preserve"> к-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 ± R, где:</w:t>
      </w:r>
      <w:r>
        <w:rPr>
          <w:rFonts w:ascii="Times New Roman" w:hAnsi="Times New Roman"/>
          <w:sz w:val="28"/>
          <w:szCs w:val="28"/>
        </w:rPr>
        <w:tab/>
        <w:t xml:space="preserve">      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СQ к-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– средняя ставка, превышающая минимальную ставку, платы за единицу объема древесины по договорам купли-продажи лесных насаждений, сложившаяся по итогам предыдущего финансового</w:t>
      </w:r>
      <w:r>
        <w:rPr>
          <w:rFonts w:ascii="Times New Roman" w:hAnsi="Times New Roman"/>
          <w:sz w:val="28"/>
          <w:szCs w:val="28"/>
        </w:rPr>
        <w:t xml:space="preserve"> года и приведенная к уровню 2007 года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К1 – коэффициент к ставкам платы за единицу объема лесных ресурсов (древесины), установленный Правительством Российской Федерации соответственно на очередной финансовый год и на плановый период;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Q </w:t>
      </w:r>
      <w:proofErr w:type="spellStart"/>
      <w:r>
        <w:rPr>
          <w:rFonts w:ascii="Times New Roman" w:hAnsi="Times New Roman"/>
          <w:sz w:val="28"/>
          <w:szCs w:val="28"/>
        </w:rPr>
        <w:t>срк</w:t>
      </w:r>
      <w:r>
        <w:rPr>
          <w:rFonts w:ascii="Times New Roman" w:hAnsi="Times New Roman"/>
          <w:sz w:val="28"/>
          <w:szCs w:val="28"/>
        </w:rPr>
        <w:t>-пр</w:t>
      </w:r>
      <w:proofErr w:type="spellEnd"/>
      <w:r>
        <w:rPr>
          <w:rFonts w:ascii="Times New Roman" w:hAnsi="Times New Roman"/>
          <w:sz w:val="28"/>
          <w:szCs w:val="28"/>
        </w:rPr>
        <w:t xml:space="preserve"> – средний объем древесины, подлежащий заготовке по договорам купли-продажи лесных насаждений соответственно в очередном финансовом году, первом и втором году планового периода 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куб.м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), рассчитывается с применением метода скользящей средней по формуле: 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Q </w:t>
      </w:r>
      <w:proofErr w:type="spellStart"/>
      <w:r>
        <w:rPr>
          <w:rFonts w:ascii="Times New Roman" w:hAnsi="Times New Roman"/>
          <w:sz w:val="28"/>
          <w:szCs w:val="28"/>
        </w:rPr>
        <w:t>срк-пр</w:t>
      </w:r>
      <w:proofErr w:type="spellEnd"/>
      <w:r>
        <w:rPr>
          <w:rFonts w:ascii="Times New Roman" w:hAnsi="Times New Roman"/>
          <w:sz w:val="28"/>
          <w:szCs w:val="28"/>
        </w:rPr>
        <w:t xml:space="preserve"> =∑3t=1 </w:t>
      </w:r>
      <w:proofErr w:type="spellStart"/>
      <w:r>
        <w:rPr>
          <w:rFonts w:ascii="Times New Roman" w:hAnsi="Times New Roman"/>
          <w:sz w:val="28"/>
          <w:szCs w:val="28"/>
        </w:rPr>
        <w:t>Qк-пр</w:t>
      </w:r>
      <w:proofErr w:type="spellEnd"/>
      <w:r>
        <w:rPr>
          <w:rFonts w:ascii="Times New Roman" w:hAnsi="Times New Roman"/>
          <w:sz w:val="28"/>
          <w:szCs w:val="28"/>
        </w:rPr>
        <w:t xml:space="preserve"> /3,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∑3t=1 </w:t>
      </w:r>
      <w:proofErr w:type="spellStart"/>
      <w:r>
        <w:rPr>
          <w:rFonts w:ascii="Times New Roman" w:hAnsi="Times New Roman"/>
          <w:sz w:val="28"/>
          <w:szCs w:val="28"/>
        </w:rPr>
        <w:t>Qк-пр</w:t>
      </w:r>
      <w:proofErr w:type="spellEnd"/>
      <w:r>
        <w:rPr>
          <w:rFonts w:ascii="Times New Roman" w:hAnsi="Times New Roman"/>
          <w:sz w:val="28"/>
          <w:szCs w:val="28"/>
        </w:rPr>
        <w:t xml:space="preserve"> — сумма годовых величин объемов древесины, подлежащих заготовке по договорам купли-продажи, за три года, предшествующих прогнозируемому году (куб. м), при формировании прогноза на очередной финансовый год использ</w:t>
      </w:r>
      <w:r>
        <w:rPr>
          <w:rFonts w:ascii="Times New Roman" w:hAnsi="Times New Roman"/>
          <w:sz w:val="28"/>
          <w:szCs w:val="28"/>
        </w:rPr>
        <w:t>уются фактические данные за два отчетных года и прогнозные значения на текущий финансовый год, при формировании прогноза на  первый год планового периода используются фактические данные за один отчетный год и прогнозные значения текущего финансового года и</w:t>
      </w:r>
      <w:r>
        <w:rPr>
          <w:rFonts w:ascii="Times New Roman" w:hAnsi="Times New Roman"/>
          <w:sz w:val="28"/>
          <w:szCs w:val="28"/>
        </w:rPr>
        <w:t xml:space="preserve"> очередного финансового года; прогноз на второй год планового периода принимается на уровне прогноза первого года планового периода);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Zср</w:t>
      </w:r>
      <w:proofErr w:type="spellEnd"/>
      <w:r>
        <w:rPr>
          <w:rFonts w:ascii="Times New Roman" w:hAnsi="Times New Roman"/>
          <w:sz w:val="28"/>
          <w:szCs w:val="28"/>
        </w:rPr>
        <w:t xml:space="preserve"> к-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– средний размер дебиторской задолженности (недоимки) по договорам купли-продажи лесных насаждений, возможный к п</w:t>
      </w:r>
      <w:r>
        <w:rPr>
          <w:rFonts w:ascii="Times New Roman" w:hAnsi="Times New Roman"/>
          <w:sz w:val="28"/>
          <w:szCs w:val="28"/>
        </w:rPr>
        <w:t>оступлению, соответственно в очередном финансовом году, первом и втором году планового периода (рублей). Определяется по формуле: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Zср</w:t>
      </w:r>
      <w:proofErr w:type="spellEnd"/>
      <w:r>
        <w:rPr>
          <w:rFonts w:ascii="Times New Roman" w:hAnsi="Times New Roman"/>
          <w:sz w:val="28"/>
          <w:szCs w:val="28"/>
        </w:rPr>
        <w:t xml:space="preserve"> к-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=(</w:t>
      </w:r>
      <w:proofErr w:type="gramEnd"/>
      <w:r>
        <w:rPr>
          <w:rFonts w:ascii="Times New Roman" w:hAnsi="Times New Roman"/>
          <w:sz w:val="28"/>
          <w:szCs w:val="28"/>
        </w:rPr>
        <w:t xml:space="preserve">∑3t=1 </w:t>
      </w:r>
      <w:proofErr w:type="spellStart"/>
      <w:r>
        <w:rPr>
          <w:rFonts w:ascii="Times New Roman" w:hAnsi="Times New Roman"/>
          <w:sz w:val="28"/>
          <w:szCs w:val="28"/>
        </w:rPr>
        <w:t>Zк-пр</w:t>
      </w:r>
      <w:proofErr w:type="spellEnd"/>
      <w:r>
        <w:rPr>
          <w:rFonts w:ascii="Times New Roman" w:hAnsi="Times New Roman"/>
          <w:sz w:val="28"/>
          <w:szCs w:val="28"/>
        </w:rPr>
        <w:t xml:space="preserve"> /3)*(∑3t=1 k /3/100) 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∑3t=1 </w:t>
      </w:r>
      <w:proofErr w:type="spellStart"/>
      <w:r>
        <w:rPr>
          <w:rFonts w:ascii="Times New Roman" w:hAnsi="Times New Roman"/>
          <w:sz w:val="28"/>
          <w:szCs w:val="28"/>
        </w:rPr>
        <w:t>Zк-пр</w:t>
      </w:r>
      <w:proofErr w:type="spellEnd"/>
      <w:r>
        <w:rPr>
          <w:rFonts w:ascii="Times New Roman" w:hAnsi="Times New Roman"/>
          <w:sz w:val="28"/>
          <w:szCs w:val="28"/>
        </w:rPr>
        <w:t xml:space="preserve"> – сумма </w:t>
      </w:r>
      <w:r>
        <w:rPr>
          <w:rFonts w:ascii="Times New Roman" w:hAnsi="Times New Roman"/>
          <w:sz w:val="28"/>
          <w:szCs w:val="28"/>
        </w:rPr>
        <w:t>годовых величин задолженности (недоимки), возможной к взысканию (общая сумма недоимки, включая долги прошлых периодов, за минусом безнадежной), по договорам купли-продажи лесных насаждений за три отчетных года, предшествующих прогнозируемому году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∑3t=1 k – сумма процентов взыскания Федеральной службой судебных приставов задолженности (недоимки) по договорам купли-продажи лесных насаждений от задолженности, находящейся у нее на рассмотрении, за три отчетных года, предшествующих прогнозируемому году</w:t>
      </w:r>
      <w:r>
        <w:rPr>
          <w:rFonts w:ascii="Times New Roman" w:hAnsi="Times New Roman"/>
          <w:sz w:val="28"/>
          <w:szCs w:val="28"/>
        </w:rPr>
        <w:t xml:space="preserve"> (%);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 – процент взыскания Федеральной службой судебных приставов задолженности (недоимки) по договорам купли-продажи лесных насаждений от задолженности, находящейся у нее на рассмотрении, по итогам отчетного года определяется по формуле: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k = Z </w:t>
      </w:r>
      <w:proofErr w:type="spellStart"/>
      <w:r>
        <w:rPr>
          <w:rFonts w:ascii="Times New Roman" w:hAnsi="Times New Roman"/>
          <w:sz w:val="28"/>
          <w:szCs w:val="28"/>
        </w:rPr>
        <w:t>ФССПк-пр</w:t>
      </w:r>
      <w:proofErr w:type="spellEnd"/>
      <w:r>
        <w:rPr>
          <w:rFonts w:ascii="Times New Roman" w:hAnsi="Times New Roman"/>
          <w:sz w:val="28"/>
          <w:szCs w:val="28"/>
        </w:rPr>
        <w:t xml:space="preserve"> /</w:t>
      </w:r>
      <w:r>
        <w:rPr>
          <w:rFonts w:ascii="Times New Roman" w:hAnsi="Times New Roman"/>
          <w:sz w:val="28"/>
          <w:szCs w:val="28"/>
        </w:rPr>
        <w:t xml:space="preserve"> Z </w:t>
      </w:r>
      <w:proofErr w:type="spellStart"/>
      <w:r>
        <w:rPr>
          <w:rFonts w:ascii="Times New Roman" w:hAnsi="Times New Roman"/>
          <w:sz w:val="28"/>
          <w:szCs w:val="28"/>
        </w:rPr>
        <w:t>взыскк-пр</w:t>
      </w:r>
      <w:proofErr w:type="spellEnd"/>
      <w:r>
        <w:rPr>
          <w:rFonts w:ascii="Times New Roman" w:hAnsi="Times New Roman"/>
          <w:sz w:val="28"/>
          <w:szCs w:val="28"/>
        </w:rPr>
        <w:t xml:space="preserve"> *100,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 </w:t>
      </w:r>
      <w:proofErr w:type="spellStart"/>
      <w:r>
        <w:rPr>
          <w:rFonts w:ascii="Times New Roman" w:hAnsi="Times New Roman"/>
          <w:sz w:val="28"/>
          <w:szCs w:val="28"/>
        </w:rPr>
        <w:t>ФССПк-</w:t>
      </w:r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 –</w:t>
      </w:r>
      <w:proofErr w:type="gramEnd"/>
      <w:r>
        <w:rPr>
          <w:rFonts w:ascii="Times New Roman" w:hAnsi="Times New Roman"/>
          <w:sz w:val="28"/>
          <w:szCs w:val="28"/>
        </w:rPr>
        <w:t xml:space="preserve"> сумма задолженности (недоимки) по договорам купли-продажи лесных насаждений, находящейся на принудительном взыскании в Федеральной службе судебных приставов (ведется исполнительное производство, </w:t>
      </w:r>
      <w:r>
        <w:rPr>
          <w:rFonts w:ascii="Times New Roman" w:hAnsi="Times New Roman"/>
          <w:sz w:val="28"/>
          <w:szCs w:val="28"/>
        </w:rPr>
        <w:lastRenderedPageBreak/>
        <w:t>возбужденное до 1 январ</w:t>
      </w:r>
      <w:r>
        <w:rPr>
          <w:rFonts w:ascii="Times New Roman" w:hAnsi="Times New Roman"/>
          <w:sz w:val="28"/>
          <w:szCs w:val="28"/>
        </w:rPr>
        <w:t>я отчетного года, и возбужденное исполнительное производство в отчетном году)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Z </w:t>
      </w:r>
      <w:proofErr w:type="spellStart"/>
      <w:r>
        <w:rPr>
          <w:rFonts w:ascii="Times New Roman" w:hAnsi="Times New Roman"/>
          <w:sz w:val="28"/>
          <w:szCs w:val="28"/>
        </w:rPr>
        <w:t>взыскк-пр</w:t>
      </w:r>
      <w:proofErr w:type="spellEnd"/>
      <w:r>
        <w:rPr>
          <w:rFonts w:ascii="Times New Roman" w:hAnsi="Times New Roman"/>
          <w:sz w:val="28"/>
          <w:szCs w:val="28"/>
        </w:rPr>
        <w:t xml:space="preserve"> – всего взыскано платежей по договорам купли-продажи лесных насаждений Федеральной службой судебных приставов в отчетном году (рублей).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R – корректирующая </w:t>
      </w:r>
      <w:r>
        <w:rPr>
          <w:rFonts w:ascii="Times New Roman" w:hAnsi="Times New Roman"/>
          <w:sz w:val="28"/>
          <w:szCs w:val="28"/>
        </w:rPr>
        <w:t>сумма поступлений, учитывающая отдельные решения Губернатора Новосибирской области, Правительства Новосибирской области и другие факторы, влияющие на объем прогнозируемых доходов соответственно в очередном финансовому году, первом и втором году планового п</w:t>
      </w:r>
      <w:r>
        <w:rPr>
          <w:rFonts w:ascii="Times New Roman" w:hAnsi="Times New Roman"/>
          <w:sz w:val="28"/>
          <w:szCs w:val="28"/>
        </w:rPr>
        <w:t>ериода (рублей).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Средняя ставка превышающая минимальную ставку платы за единицу объема древесины по договорам купли-продажи лесных насаждений, сложившаяся по итогам предыдущего финансового года и приведенная к уровню 2007 года (СQ к-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 xml:space="preserve"> рассчитывается по </w:t>
      </w:r>
      <w:r>
        <w:rPr>
          <w:rFonts w:ascii="Times New Roman" w:hAnsi="Times New Roman"/>
          <w:sz w:val="28"/>
          <w:szCs w:val="28"/>
        </w:rPr>
        <w:t>формуле: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СQ к-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=</w:t>
      </w:r>
      <w:proofErr w:type="spellStart"/>
      <w:r>
        <w:rPr>
          <w:rFonts w:ascii="Times New Roman" w:hAnsi="Times New Roman"/>
          <w:sz w:val="28"/>
          <w:szCs w:val="28"/>
        </w:rPr>
        <w:t>Пк-пр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причОБ</w:t>
      </w:r>
      <w:proofErr w:type="spellEnd"/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Qк-пр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</w:t>
      </w:r>
      <w:proofErr w:type="spellEnd"/>
      <w:r>
        <w:rPr>
          <w:rFonts w:ascii="Times New Roman" w:hAnsi="Times New Roman"/>
          <w:sz w:val="28"/>
          <w:szCs w:val="28"/>
        </w:rPr>
        <w:t>/К пред год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Пк-пр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причОБ</w:t>
      </w:r>
      <w:proofErr w:type="spellEnd"/>
      <w:r>
        <w:rPr>
          <w:rFonts w:ascii="Times New Roman" w:hAnsi="Times New Roman"/>
          <w:sz w:val="28"/>
          <w:szCs w:val="28"/>
        </w:rPr>
        <w:t>– причитающийся в бюджет Новосибирской области объем платежей за заготовку древесины по договорам купли-продажи лесных насаждений в предыдущем финансовом году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Qк-пр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</w:t>
      </w:r>
      <w:proofErr w:type="spellEnd"/>
      <w:r>
        <w:rPr>
          <w:rFonts w:ascii="Times New Roman" w:hAnsi="Times New Roman"/>
          <w:sz w:val="28"/>
          <w:szCs w:val="28"/>
        </w:rPr>
        <w:t xml:space="preserve"> – объем древесины, предоставленный для заготовки по договорам купли-продажи лесных насаждений в предыдущем финансовом году 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куб.м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К1 пред год – коэффициент к ставкам платы за единицу объема лесных ресурсов (древесины), установленный Правительством Росси</w:t>
      </w:r>
      <w:r>
        <w:rPr>
          <w:rFonts w:ascii="Times New Roman" w:hAnsi="Times New Roman"/>
          <w:sz w:val="28"/>
          <w:szCs w:val="28"/>
        </w:rPr>
        <w:t>йской Федерации в предыдущем финансовом году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доходов рассчитан с учетом объема заготовок, ставки платы, и коэффициента индексации к ставкам платы: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2026 год – 39 056,0 тыс. рублей (расчеты в Приложении к пояснительной записке).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на второй </w:t>
      </w:r>
      <w:r>
        <w:rPr>
          <w:rFonts w:ascii="Times New Roman" w:hAnsi="Times New Roman"/>
          <w:sz w:val="28"/>
          <w:szCs w:val="28"/>
        </w:rPr>
        <w:t xml:space="preserve">и третий год планового периода принимается на уровне прогноза первого года планового периода. 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коду доходов 130 1 12 04014 02 0000 120</w:t>
      </w:r>
      <w:r>
        <w:rPr>
          <w:rFonts w:ascii="Times New Roman" w:hAnsi="Times New Roman"/>
          <w:sz w:val="28"/>
          <w:szCs w:val="28"/>
        </w:rPr>
        <w:t xml:space="preserve"> (Плата за использование лесов, расположенных на землях лесного фонда, в части, превышающей минимальный размер арендной</w:t>
      </w:r>
      <w:r>
        <w:rPr>
          <w:rFonts w:ascii="Times New Roman" w:hAnsi="Times New Roman"/>
          <w:sz w:val="28"/>
          <w:szCs w:val="28"/>
        </w:rPr>
        <w:t xml:space="preserve"> платы).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на 2025 год утвержден в объеме 80 027,0 тыс. руб., фактическое поступление за 5 месяцев 2025 года составляет 29 152,0 тыс. руб., или 36% годовых плановых назначений.</w:t>
      </w:r>
    </w:p>
    <w:p w:rsidR="00D22425" w:rsidRDefault="00DB0CA8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Ожидаемое поступление доходов в 2025 году – 80 027,0 тыс. руб., рассчитано с</w:t>
      </w:r>
      <w:r>
        <w:rPr>
          <w:rFonts w:ascii="Times New Roman" w:hAnsi="Times New Roman"/>
          <w:sz w:val="28"/>
          <w:szCs w:val="28"/>
        </w:rPr>
        <w:t xml:space="preserve"> учетом произведенных начислений действующих договоров аренды в 2025 году.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прогноза поступлений платы за использование лесов, расположенных на землях лесного фонда, в части, превышающей минимальный размер арендной платы производится по формуле: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Парм</w:t>
      </w:r>
      <w:r>
        <w:rPr>
          <w:rFonts w:ascii="Times New Roman" w:hAnsi="Times New Roman"/>
          <w:sz w:val="28"/>
          <w:szCs w:val="28"/>
        </w:rPr>
        <w:t>ах</w:t>
      </w:r>
      <w:proofErr w:type="spellEnd"/>
      <w:r>
        <w:rPr>
          <w:rFonts w:ascii="Times New Roman" w:hAnsi="Times New Roman"/>
          <w:sz w:val="28"/>
          <w:szCs w:val="28"/>
        </w:rPr>
        <w:t xml:space="preserve"> = СQ ар мах * Q ср ар+ (СS ар мах *К1)*S </w:t>
      </w:r>
      <w:proofErr w:type="spellStart"/>
      <w:r>
        <w:rPr>
          <w:rFonts w:ascii="Times New Roman" w:hAnsi="Times New Roman"/>
          <w:sz w:val="28"/>
          <w:szCs w:val="28"/>
        </w:rPr>
        <w:t>срар</w:t>
      </w:r>
      <w:proofErr w:type="spellEnd"/>
      <w:r>
        <w:rPr>
          <w:rFonts w:ascii="Times New Roman" w:hAnsi="Times New Roman"/>
          <w:sz w:val="28"/>
          <w:szCs w:val="28"/>
        </w:rPr>
        <w:t xml:space="preserve">+ (СV ар мах *К1)*V ср ар+ </w:t>
      </w:r>
      <w:proofErr w:type="spellStart"/>
      <w:r>
        <w:rPr>
          <w:rFonts w:ascii="Times New Roman" w:hAnsi="Times New Roman"/>
          <w:sz w:val="28"/>
          <w:szCs w:val="28"/>
        </w:rPr>
        <w:t>Zср</w:t>
      </w:r>
      <w:proofErr w:type="spellEnd"/>
      <w:r>
        <w:rPr>
          <w:rFonts w:ascii="Times New Roman" w:hAnsi="Times New Roman"/>
          <w:sz w:val="28"/>
          <w:szCs w:val="28"/>
        </w:rPr>
        <w:t xml:space="preserve"> ар ± R ;  V ср ар =∑3t=1 </w:t>
      </w:r>
      <w:proofErr w:type="spellStart"/>
      <w:r>
        <w:rPr>
          <w:rFonts w:ascii="Times New Roman" w:hAnsi="Times New Roman"/>
          <w:sz w:val="28"/>
          <w:szCs w:val="28"/>
        </w:rPr>
        <w:t>Vар</w:t>
      </w:r>
      <w:proofErr w:type="spellEnd"/>
      <w:r>
        <w:rPr>
          <w:rFonts w:ascii="Times New Roman" w:hAnsi="Times New Roman"/>
          <w:sz w:val="28"/>
          <w:szCs w:val="28"/>
        </w:rPr>
        <w:t xml:space="preserve"> /3,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СQ ар – средняя ставка платы, превышающая минимальную, за единицу объема древесины по договорам аренды лесных участков, сложившаяся по итог</w:t>
      </w:r>
      <w:r>
        <w:rPr>
          <w:rFonts w:ascii="Times New Roman" w:hAnsi="Times New Roman"/>
          <w:sz w:val="28"/>
          <w:szCs w:val="28"/>
        </w:rPr>
        <w:t>ам предыдущего финансового года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К1 – коэффициент к ставкам платы за единицу объема лесных ресурсов, ставкам платы за единицу площади лесного участка, находящегося в федеральной собственности, установленный Правительством РФ соответственно на очер</w:t>
      </w:r>
      <w:r>
        <w:rPr>
          <w:rFonts w:ascii="Times New Roman" w:hAnsi="Times New Roman"/>
          <w:sz w:val="28"/>
          <w:szCs w:val="28"/>
        </w:rPr>
        <w:t>едной финансовый год и на плановый период;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Qср</w:t>
      </w:r>
      <w:proofErr w:type="spellEnd"/>
      <w:r>
        <w:rPr>
          <w:rFonts w:ascii="Times New Roman" w:hAnsi="Times New Roman"/>
          <w:sz w:val="28"/>
          <w:szCs w:val="28"/>
        </w:rPr>
        <w:t xml:space="preserve"> ар – средний объем древесины, подлежащий заготовке по договорам аренды лесных участков, соответственно в очередном финансовом году, первом и втором году планового периода 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куб.м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СS ар мах – средняя ставка платы, превышающая минимальную, за единицу площади лесного участка, по договорам аренды, сложившаяся по итогам предыдущего финансового года и приведенная к уровню 2007 года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S ср ар – средняя площадь лесных участков, нах</w:t>
      </w:r>
      <w:r>
        <w:rPr>
          <w:rFonts w:ascii="Times New Roman" w:hAnsi="Times New Roman"/>
          <w:sz w:val="28"/>
          <w:szCs w:val="28"/>
        </w:rPr>
        <w:t>одящихся в федеральной собственности, предоставленных по договорам аренды соответственно в очередном финансовом году, первом и втором году планового периода (гектар);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СV </w:t>
      </w:r>
      <w:proofErr w:type="spellStart"/>
      <w:r>
        <w:rPr>
          <w:rFonts w:ascii="Times New Roman" w:hAnsi="Times New Roman"/>
          <w:sz w:val="28"/>
          <w:szCs w:val="28"/>
        </w:rPr>
        <w:t>амахр</w:t>
      </w:r>
      <w:proofErr w:type="spellEnd"/>
      <w:r>
        <w:rPr>
          <w:rFonts w:ascii="Times New Roman" w:hAnsi="Times New Roman"/>
          <w:sz w:val="28"/>
          <w:szCs w:val="28"/>
        </w:rPr>
        <w:t xml:space="preserve"> – средняя ставка платы, превышающая минимальную, за единицу объема лесных ресурс</w:t>
      </w:r>
      <w:r>
        <w:rPr>
          <w:rFonts w:ascii="Times New Roman" w:hAnsi="Times New Roman"/>
          <w:sz w:val="28"/>
          <w:szCs w:val="28"/>
        </w:rPr>
        <w:t>ов (за исключением древесины) по договорам аренды лесных участков, сложившаяся по итогам предыдущего финансового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V </w:t>
      </w:r>
      <w:proofErr w:type="spellStart"/>
      <w:r>
        <w:rPr>
          <w:rFonts w:ascii="Times New Roman" w:hAnsi="Times New Roman"/>
          <w:sz w:val="28"/>
          <w:szCs w:val="28"/>
        </w:rPr>
        <w:t>срар</w:t>
      </w:r>
      <w:proofErr w:type="spellEnd"/>
      <w:r>
        <w:rPr>
          <w:rFonts w:ascii="Times New Roman" w:hAnsi="Times New Roman"/>
          <w:sz w:val="28"/>
          <w:szCs w:val="28"/>
        </w:rPr>
        <w:t xml:space="preserve"> – средний объем лесных ресурсов (за исключением древесины), подлежащий заготовке по договорам аренды лесных участков, соответс</w:t>
      </w:r>
      <w:r>
        <w:rPr>
          <w:rFonts w:ascii="Times New Roman" w:hAnsi="Times New Roman"/>
          <w:sz w:val="28"/>
          <w:szCs w:val="28"/>
        </w:rPr>
        <w:t xml:space="preserve">твенно в очередном финансовом году, первом и втором году планового периода (т, </w:t>
      </w:r>
      <w:proofErr w:type="spellStart"/>
      <w:r>
        <w:rPr>
          <w:rFonts w:ascii="Times New Roman" w:hAnsi="Times New Roman"/>
          <w:sz w:val="28"/>
          <w:szCs w:val="28"/>
        </w:rPr>
        <w:t>куб.м</w:t>
      </w:r>
      <w:proofErr w:type="spellEnd"/>
      <w:r>
        <w:rPr>
          <w:rFonts w:ascii="Times New Roman" w:hAnsi="Times New Roman"/>
          <w:sz w:val="28"/>
          <w:szCs w:val="28"/>
        </w:rPr>
        <w:t>, ц, кг и др.);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Zср</w:t>
      </w:r>
      <w:proofErr w:type="spellEnd"/>
      <w:r>
        <w:rPr>
          <w:rFonts w:ascii="Times New Roman" w:hAnsi="Times New Roman"/>
          <w:sz w:val="28"/>
          <w:szCs w:val="28"/>
        </w:rPr>
        <w:t xml:space="preserve"> ар – средний размер дебиторской задолженности по договорам аренды лесных участков, возможный к поступлению, соответственно в очередном финансовом году, </w:t>
      </w:r>
      <w:r>
        <w:rPr>
          <w:rFonts w:ascii="Times New Roman" w:hAnsi="Times New Roman"/>
          <w:sz w:val="28"/>
          <w:szCs w:val="28"/>
        </w:rPr>
        <w:t>первом и втором году планового периода (рублей). Определяется по формуле: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Zср</w:t>
      </w:r>
      <w:proofErr w:type="spellEnd"/>
      <w:r>
        <w:rPr>
          <w:rFonts w:ascii="Times New Roman" w:hAnsi="Times New Roman"/>
          <w:sz w:val="28"/>
          <w:szCs w:val="28"/>
        </w:rPr>
        <w:t xml:space="preserve"> ар </w:t>
      </w:r>
      <w:proofErr w:type="gramStart"/>
      <w:r>
        <w:rPr>
          <w:rFonts w:ascii="Times New Roman" w:hAnsi="Times New Roman"/>
          <w:sz w:val="28"/>
          <w:szCs w:val="28"/>
        </w:rPr>
        <w:t>=(</w:t>
      </w:r>
      <w:proofErr w:type="gramEnd"/>
      <w:r>
        <w:rPr>
          <w:rFonts w:ascii="Times New Roman" w:hAnsi="Times New Roman"/>
          <w:sz w:val="28"/>
          <w:szCs w:val="28"/>
        </w:rPr>
        <w:t xml:space="preserve">∑3t=1 </w:t>
      </w:r>
      <w:proofErr w:type="spellStart"/>
      <w:r>
        <w:rPr>
          <w:rFonts w:ascii="Times New Roman" w:hAnsi="Times New Roman"/>
          <w:sz w:val="28"/>
          <w:szCs w:val="28"/>
        </w:rPr>
        <w:t>Zар</w:t>
      </w:r>
      <w:proofErr w:type="spellEnd"/>
      <w:r>
        <w:rPr>
          <w:rFonts w:ascii="Times New Roman" w:hAnsi="Times New Roman"/>
          <w:sz w:val="28"/>
          <w:szCs w:val="28"/>
        </w:rPr>
        <w:t xml:space="preserve"> /3)*(∑3t=1 k /3/100),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∑3t=1 </w:t>
      </w:r>
      <w:proofErr w:type="spellStart"/>
      <w:r>
        <w:rPr>
          <w:rFonts w:ascii="Times New Roman" w:hAnsi="Times New Roman"/>
          <w:sz w:val="28"/>
          <w:szCs w:val="28"/>
        </w:rPr>
        <w:t>Zар</w:t>
      </w:r>
      <w:proofErr w:type="spellEnd"/>
      <w:r>
        <w:rPr>
          <w:rFonts w:ascii="Times New Roman" w:hAnsi="Times New Roman"/>
          <w:sz w:val="28"/>
          <w:szCs w:val="28"/>
        </w:rPr>
        <w:t xml:space="preserve"> – сумма годовых величин задолженности (недоимки), возможной к взысканию (общая сумма недоимки, включая долги прошлых периодов,</w:t>
      </w:r>
      <w:r>
        <w:rPr>
          <w:rFonts w:ascii="Times New Roman" w:hAnsi="Times New Roman"/>
          <w:sz w:val="28"/>
          <w:szCs w:val="28"/>
        </w:rPr>
        <w:t xml:space="preserve"> за минусом безнадежной), по договорам аренды лесных участков за три отчетных года, предшествующих прогнозируемому году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∑3t=1 k – сумма процентов взыскания Федеральной службой судебных приставов задолженности (недоимки) по договорам аренды лесных</w:t>
      </w:r>
      <w:r>
        <w:rPr>
          <w:rFonts w:ascii="Times New Roman" w:hAnsi="Times New Roman"/>
          <w:sz w:val="28"/>
          <w:szCs w:val="28"/>
        </w:rPr>
        <w:t xml:space="preserve"> участков от задолженности, находящейся у нее на рассмотрении, за три отчетных года, предшествующих прогнозируемому году (%);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 – процент взыскания Федеральной службой судебных приставов задолженности (недоимки) по договорам аренды лесных участков от задол</w:t>
      </w:r>
      <w:r>
        <w:rPr>
          <w:rFonts w:ascii="Times New Roman" w:hAnsi="Times New Roman"/>
          <w:sz w:val="28"/>
          <w:szCs w:val="28"/>
        </w:rPr>
        <w:t xml:space="preserve">женности, находящейся у нее на рассмотрении, по итогам отчетного года определяется по формуле: k = Z </w:t>
      </w:r>
      <w:proofErr w:type="spellStart"/>
      <w:r>
        <w:rPr>
          <w:rFonts w:ascii="Times New Roman" w:hAnsi="Times New Roman"/>
          <w:sz w:val="28"/>
          <w:szCs w:val="28"/>
        </w:rPr>
        <w:t>ФССПар</w:t>
      </w:r>
      <w:proofErr w:type="spellEnd"/>
      <w:r>
        <w:rPr>
          <w:rFonts w:ascii="Times New Roman" w:hAnsi="Times New Roman"/>
          <w:sz w:val="28"/>
          <w:szCs w:val="28"/>
        </w:rPr>
        <w:t xml:space="preserve"> / Z </w:t>
      </w:r>
      <w:proofErr w:type="spellStart"/>
      <w:r>
        <w:rPr>
          <w:rFonts w:ascii="Times New Roman" w:hAnsi="Times New Roman"/>
          <w:sz w:val="28"/>
          <w:szCs w:val="28"/>
        </w:rPr>
        <w:t>взыскар</w:t>
      </w:r>
      <w:proofErr w:type="spellEnd"/>
      <w:r>
        <w:rPr>
          <w:rFonts w:ascii="Times New Roman" w:hAnsi="Times New Roman"/>
          <w:sz w:val="28"/>
          <w:szCs w:val="28"/>
        </w:rPr>
        <w:t xml:space="preserve"> *100,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 </w:t>
      </w:r>
      <w:proofErr w:type="spellStart"/>
      <w:r>
        <w:rPr>
          <w:rFonts w:ascii="Times New Roman" w:hAnsi="Times New Roman"/>
          <w:sz w:val="28"/>
          <w:szCs w:val="28"/>
        </w:rPr>
        <w:t>ФССПар</w:t>
      </w:r>
      <w:proofErr w:type="spellEnd"/>
      <w:r>
        <w:rPr>
          <w:rFonts w:ascii="Times New Roman" w:hAnsi="Times New Roman"/>
          <w:sz w:val="28"/>
          <w:szCs w:val="28"/>
        </w:rPr>
        <w:t xml:space="preserve"> – сумма задолженности (недоимки) по договорам аренды лесных участков, находящейся на принудительном взыскании в ФССП</w:t>
      </w:r>
      <w:r>
        <w:rPr>
          <w:rFonts w:ascii="Times New Roman" w:hAnsi="Times New Roman"/>
          <w:sz w:val="28"/>
          <w:szCs w:val="28"/>
        </w:rPr>
        <w:t xml:space="preserve"> (ведется исполнительное производство, возбужденное до 1 января отчетного года, и возбужденное исполнительное производство в отчетном году)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Z </w:t>
      </w:r>
      <w:proofErr w:type="spellStart"/>
      <w:r>
        <w:rPr>
          <w:rFonts w:ascii="Times New Roman" w:hAnsi="Times New Roman"/>
          <w:sz w:val="28"/>
          <w:szCs w:val="28"/>
        </w:rPr>
        <w:t>взыскар</w:t>
      </w:r>
      <w:proofErr w:type="spellEnd"/>
      <w:r>
        <w:rPr>
          <w:rFonts w:ascii="Times New Roman" w:hAnsi="Times New Roman"/>
          <w:sz w:val="28"/>
          <w:szCs w:val="28"/>
        </w:rPr>
        <w:t xml:space="preserve"> – всего взыскано платежей по договорам аренды лесных участков Федеральной службой судебных прис</w:t>
      </w:r>
      <w:r>
        <w:rPr>
          <w:rFonts w:ascii="Times New Roman" w:hAnsi="Times New Roman"/>
          <w:sz w:val="28"/>
          <w:szCs w:val="28"/>
        </w:rPr>
        <w:t>тавов в отчетном году (рублей).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 – корректирующая сумма поступлений, учитывающая отдельные решения Губернатора Новосибирской области, Правительства НСО, и другие факторы, влияющие на объем прогнозируемых доходов соответственно в очередном финансовому году</w:t>
      </w:r>
      <w:r>
        <w:rPr>
          <w:rFonts w:ascii="Times New Roman" w:hAnsi="Times New Roman"/>
          <w:sz w:val="28"/>
          <w:szCs w:val="28"/>
        </w:rPr>
        <w:t>, первом и втором году планового периода (рублей).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Средняя ставка, превышающую минимальную ставку, платы за единицу объема древесины по договорам аренды лесных участков, сложившаяся по итогам предыдущего финансового (СQ ар), рассчитывается по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формуле:С</w:t>
      </w:r>
      <w:proofErr w:type="gramEnd"/>
      <w:r>
        <w:rPr>
          <w:rFonts w:ascii="Times New Roman" w:hAnsi="Times New Roman"/>
          <w:sz w:val="28"/>
          <w:szCs w:val="28"/>
        </w:rPr>
        <w:t>Q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ар</w:t>
      </w:r>
      <w:r>
        <w:rPr>
          <w:rFonts w:ascii="Times New Roman" w:hAnsi="Times New Roman"/>
          <w:sz w:val="28"/>
          <w:szCs w:val="28"/>
        </w:rPr>
        <w:t>мах</w:t>
      </w:r>
      <w:proofErr w:type="spellEnd"/>
      <w:r>
        <w:rPr>
          <w:rFonts w:ascii="Times New Roman" w:hAnsi="Times New Roman"/>
          <w:sz w:val="28"/>
          <w:szCs w:val="28"/>
        </w:rPr>
        <w:t xml:space="preserve"> =</w:t>
      </w:r>
      <w:proofErr w:type="spellStart"/>
      <w:r>
        <w:rPr>
          <w:rFonts w:ascii="Times New Roman" w:hAnsi="Times New Roman"/>
          <w:sz w:val="28"/>
          <w:szCs w:val="28"/>
        </w:rPr>
        <w:t>ПарQ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причОБ</w:t>
      </w:r>
      <w:proofErr w:type="spellEnd"/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Qар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</w:t>
      </w:r>
      <w:proofErr w:type="spellEnd"/>
      <w:r>
        <w:rPr>
          <w:rFonts w:ascii="Times New Roman" w:hAnsi="Times New Roman"/>
          <w:sz w:val="28"/>
          <w:szCs w:val="28"/>
        </w:rPr>
        <w:t>/К1 пред год,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ПарQ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причОБ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причитающийся в бюджет Новосибирской области объем платежей за заготовку древесины по договорам аренды лесных участков, находящихся в федеральной собственности, в предыдущем финансовом году (руб</w:t>
      </w:r>
      <w:r>
        <w:rPr>
          <w:rFonts w:ascii="Times New Roman" w:hAnsi="Times New Roman"/>
          <w:sz w:val="28"/>
          <w:szCs w:val="28"/>
        </w:rPr>
        <w:t>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Qар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</w:t>
      </w:r>
      <w:proofErr w:type="spellEnd"/>
      <w:r>
        <w:rPr>
          <w:rFonts w:ascii="Times New Roman" w:hAnsi="Times New Roman"/>
          <w:sz w:val="28"/>
          <w:szCs w:val="28"/>
        </w:rPr>
        <w:t xml:space="preserve"> – объем древесины, предоставленный для заготовки по договорам аренды лесных участков, находящихся в федеральной собственности, в предыдущем финансовом году 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куб.м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К1 пред год – коэффициент к ставкам платы за единицу объема лесных ресурс</w:t>
      </w:r>
      <w:r>
        <w:rPr>
          <w:rFonts w:ascii="Times New Roman" w:hAnsi="Times New Roman"/>
          <w:sz w:val="28"/>
          <w:szCs w:val="28"/>
        </w:rPr>
        <w:t>ов (древесины), установленный Правительством РФ в предыдущем финансовом году.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Средняя ставка, превышающая минимальную ставку, платы за единицу площади лесного участка сложившаяся по итогам предыдущего финансового года (СS </w:t>
      </w:r>
      <w:proofErr w:type="spellStart"/>
      <w:r>
        <w:rPr>
          <w:rFonts w:ascii="Times New Roman" w:hAnsi="Times New Roman"/>
          <w:sz w:val="28"/>
          <w:szCs w:val="28"/>
        </w:rPr>
        <w:t>армах</w:t>
      </w:r>
      <w:proofErr w:type="spellEnd"/>
      <w:r>
        <w:rPr>
          <w:rFonts w:ascii="Times New Roman" w:hAnsi="Times New Roman"/>
          <w:sz w:val="28"/>
          <w:szCs w:val="28"/>
        </w:rPr>
        <w:t xml:space="preserve">), рассчитывается по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формуле: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>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амахр</w:t>
      </w:r>
      <w:proofErr w:type="spellEnd"/>
      <w:r>
        <w:rPr>
          <w:rFonts w:ascii="Times New Roman" w:hAnsi="Times New Roman"/>
          <w:sz w:val="28"/>
          <w:szCs w:val="28"/>
        </w:rPr>
        <w:t xml:space="preserve"> =</w:t>
      </w:r>
      <w:proofErr w:type="spellStart"/>
      <w:r>
        <w:rPr>
          <w:rFonts w:ascii="Times New Roman" w:hAnsi="Times New Roman"/>
          <w:sz w:val="28"/>
          <w:szCs w:val="28"/>
        </w:rPr>
        <w:t>ПарS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причОБ</w:t>
      </w:r>
      <w:proofErr w:type="spellEnd"/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Sарпредост</w:t>
      </w:r>
      <w:proofErr w:type="spellEnd"/>
      <w:r>
        <w:rPr>
          <w:rFonts w:ascii="Times New Roman" w:hAnsi="Times New Roman"/>
          <w:sz w:val="28"/>
          <w:szCs w:val="28"/>
        </w:rPr>
        <w:t>/К2 пред год,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ПарS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причОБ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причитающийся в бюджет Новосибирской области объем платежей за предоставленную площадь лесных участков по договорам аренды лесных участков, в предыдущем финансовом году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Sар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</w:t>
      </w:r>
      <w:proofErr w:type="spellEnd"/>
      <w:r>
        <w:rPr>
          <w:rFonts w:ascii="Times New Roman" w:hAnsi="Times New Roman"/>
          <w:sz w:val="28"/>
          <w:szCs w:val="28"/>
        </w:rPr>
        <w:t xml:space="preserve"> – площадь лесных участков, предоставленных по договорам аренды, в предыдущем финансовом году (гектар);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К2 пред год – </w:t>
      </w:r>
      <w:proofErr w:type="spellStart"/>
      <w:r>
        <w:rPr>
          <w:rFonts w:ascii="Times New Roman" w:hAnsi="Times New Roman"/>
          <w:sz w:val="28"/>
          <w:szCs w:val="28"/>
        </w:rPr>
        <w:t>коэф</w:t>
      </w:r>
      <w:proofErr w:type="spellEnd"/>
      <w:r>
        <w:rPr>
          <w:rFonts w:ascii="Times New Roman" w:hAnsi="Times New Roman"/>
          <w:sz w:val="28"/>
          <w:szCs w:val="28"/>
        </w:rPr>
        <w:t>-т к ставкам платы за единицу объема лесных ресурсов, ставкам платы за единицу площади лесного участка, установленный Правительством РФ в предыдущем финансовом году.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Средняя ставка, превышающая минимальную ставку, платы за единицу объема </w:t>
      </w:r>
      <w:r>
        <w:rPr>
          <w:rFonts w:ascii="Times New Roman" w:hAnsi="Times New Roman"/>
          <w:sz w:val="28"/>
          <w:szCs w:val="28"/>
        </w:rPr>
        <w:t xml:space="preserve">лесных ресурсов (за исключением древесины) по договорам аренды лесных участков, сложившаяся по итогам предыдущего финансового (СV ар), рассчитывается по формуле: СV </w:t>
      </w:r>
      <w:proofErr w:type="spellStart"/>
      <w:r>
        <w:rPr>
          <w:rFonts w:ascii="Times New Roman" w:hAnsi="Times New Roman"/>
          <w:sz w:val="28"/>
          <w:szCs w:val="28"/>
        </w:rPr>
        <w:t>армах</w:t>
      </w:r>
      <w:proofErr w:type="spellEnd"/>
      <w:r>
        <w:rPr>
          <w:rFonts w:ascii="Times New Roman" w:hAnsi="Times New Roman"/>
          <w:sz w:val="28"/>
          <w:szCs w:val="28"/>
        </w:rPr>
        <w:t xml:space="preserve"> =</w:t>
      </w:r>
      <w:proofErr w:type="spellStart"/>
      <w:r>
        <w:rPr>
          <w:rFonts w:ascii="Times New Roman" w:hAnsi="Times New Roman"/>
          <w:sz w:val="28"/>
          <w:szCs w:val="28"/>
        </w:rPr>
        <w:t>ПарV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причОБ</w:t>
      </w:r>
      <w:proofErr w:type="spellEnd"/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Vар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</w:t>
      </w:r>
      <w:proofErr w:type="spellEnd"/>
      <w:r>
        <w:rPr>
          <w:rFonts w:ascii="Times New Roman" w:hAnsi="Times New Roman"/>
          <w:sz w:val="28"/>
          <w:szCs w:val="28"/>
        </w:rPr>
        <w:t>/К2 пред год,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ПарV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причОБ</w:t>
      </w:r>
      <w:proofErr w:type="spellEnd"/>
      <w:r>
        <w:rPr>
          <w:rFonts w:ascii="Times New Roman" w:hAnsi="Times New Roman"/>
          <w:sz w:val="28"/>
          <w:szCs w:val="28"/>
        </w:rPr>
        <w:t xml:space="preserve"> – причитающийся в бюджет Ново</w:t>
      </w:r>
      <w:r>
        <w:rPr>
          <w:rFonts w:ascii="Times New Roman" w:hAnsi="Times New Roman"/>
          <w:sz w:val="28"/>
          <w:szCs w:val="28"/>
        </w:rPr>
        <w:t>сибирской области объем платежей за заготовку лесных ресурсов (за исключением древесины) по договорам аренды лесных участков, в предыдущем финансовом году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Vарпредост</w:t>
      </w:r>
      <w:proofErr w:type="spellEnd"/>
      <w:r>
        <w:rPr>
          <w:rFonts w:ascii="Times New Roman" w:hAnsi="Times New Roman"/>
          <w:sz w:val="28"/>
          <w:szCs w:val="28"/>
        </w:rPr>
        <w:t xml:space="preserve"> – объем лесных ресурсов (за исключением древесины), подлежащий заготовке по дого</w:t>
      </w:r>
      <w:r>
        <w:rPr>
          <w:rFonts w:ascii="Times New Roman" w:hAnsi="Times New Roman"/>
          <w:sz w:val="28"/>
          <w:szCs w:val="28"/>
        </w:rPr>
        <w:t xml:space="preserve">ворам аренды лесных участков, в предыдущем финансовом году (т,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куб.м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, ц, кг и др.);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К2 пред год – </w:t>
      </w:r>
      <w:proofErr w:type="spellStart"/>
      <w:r>
        <w:rPr>
          <w:rFonts w:ascii="Times New Roman" w:hAnsi="Times New Roman"/>
          <w:sz w:val="28"/>
          <w:szCs w:val="28"/>
        </w:rPr>
        <w:t>коэф</w:t>
      </w:r>
      <w:proofErr w:type="spellEnd"/>
      <w:r>
        <w:rPr>
          <w:rFonts w:ascii="Times New Roman" w:hAnsi="Times New Roman"/>
          <w:sz w:val="28"/>
          <w:szCs w:val="28"/>
        </w:rPr>
        <w:t>-т к ставкам платы за единицу объема лесных ресурсов, ставкам платы за единицу площади лесного участка установленный Правительством РФ в предыдущем финанс</w:t>
      </w:r>
      <w:r>
        <w:rPr>
          <w:rFonts w:ascii="Times New Roman" w:hAnsi="Times New Roman"/>
          <w:sz w:val="28"/>
          <w:szCs w:val="28"/>
        </w:rPr>
        <w:t>овом году, установленный Правительством Новосибирской области.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Средний объем древесины, подлежащий заготовке по договорам аренды лесных участков, (</w:t>
      </w:r>
      <w:proofErr w:type="spellStart"/>
      <w:r>
        <w:rPr>
          <w:rFonts w:ascii="Times New Roman" w:hAnsi="Times New Roman"/>
          <w:sz w:val="28"/>
          <w:szCs w:val="28"/>
        </w:rPr>
        <w:t>Qср</w:t>
      </w:r>
      <w:proofErr w:type="spellEnd"/>
      <w:r>
        <w:rPr>
          <w:rFonts w:ascii="Times New Roman" w:hAnsi="Times New Roman"/>
          <w:sz w:val="28"/>
          <w:szCs w:val="28"/>
        </w:rPr>
        <w:t xml:space="preserve"> ар) рассчитывается с применением метода скользящей средней по формуле: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Q </w:t>
      </w:r>
      <w:proofErr w:type="spellStart"/>
      <w:r>
        <w:rPr>
          <w:rFonts w:ascii="Times New Roman" w:hAnsi="Times New Roman"/>
          <w:sz w:val="28"/>
          <w:szCs w:val="28"/>
        </w:rPr>
        <w:t>срар</w:t>
      </w:r>
      <w:proofErr w:type="spellEnd"/>
      <w:r>
        <w:rPr>
          <w:rFonts w:ascii="Times New Roman" w:hAnsi="Times New Roman"/>
          <w:sz w:val="28"/>
          <w:szCs w:val="28"/>
        </w:rPr>
        <w:t xml:space="preserve"> =∑3t=1 </w:t>
      </w:r>
      <w:proofErr w:type="spellStart"/>
      <w:r>
        <w:rPr>
          <w:rFonts w:ascii="Times New Roman" w:hAnsi="Times New Roman"/>
          <w:sz w:val="28"/>
          <w:szCs w:val="28"/>
        </w:rPr>
        <w:t>Qар</w:t>
      </w:r>
      <w:proofErr w:type="spellEnd"/>
      <w:r>
        <w:rPr>
          <w:rFonts w:ascii="Times New Roman" w:hAnsi="Times New Roman"/>
          <w:sz w:val="28"/>
          <w:szCs w:val="28"/>
        </w:rPr>
        <w:t xml:space="preserve"> /3,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∑3t=1 </w:t>
      </w:r>
      <w:proofErr w:type="spellStart"/>
      <w:r>
        <w:rPr>
          <w:rFonts w:ascii="Times New Roman" w:hAnsi="Times New Roman"/>
          <w:sz w:val="28"/>
          <w:szCs w:val="28"/>
        </w:rPr>
        <w:t>Q</w:t>
      </w:r>
      <w:r>
        <w:rPr>
          <w:rFonts w:ascii="Times New Roman" w:hAnsi="Times New Roman"/>
          <w:sz w:val="28"/>
          <w:szCs w:val="28"/>
        </w:rPr>
        <w:t>ар</w:t>
      </w:r>
      <w:proofErr w:type="spellEnd"/>
      <w:r>
        <w:rPr>
          <w:rFonts w:ascii="Times New Roman" w:hAnsi="Times New Roman"/>
          <w:sz w:val="28"/>
          <w:szCs w:val="28"/>
        </w:rPr>
        <w:t xml:space="preserve">  — сумма годовых величин объемов древесины, подлежащих заготовке по договорам аренды лесных участков, за три года, предшествующих </w:t>
      </w:r>
      <w:r>
        <w:rPr>
          <w:rFonts w:ascii="Times New Roman" w:hAnsi="Times New Roman"/>
          <w:sz w:val="28"/>
          <w:szCs w:val="28"/>
        </w:rPr>
        <w:lastRenderedPageBreak/>
        <w:t>прогнозируемому году (куб. м), при формировании прогноза на очередной финансовый год используются фактические данные за два</w:t>
      </w:r>
      <w:r>
        <w:rPr>
          <w:rFonts w:ascii="Times New Roman" w:hAnsi="Times New Roman"/>
          <w:sz w:val="28"/>
          <w:szCs w:val="28"/>
        </w:rPr>
        <w:t xml:space="preserve"> отчетных года и прогнозные значения на текущий финансовый год, при формировании прогноза на  первый год планового периода используются фактические данные за один отчетный год и прогнозные значения текущего финансового года и очередного финансового года; п</w:t>
      </w:r>
      <w:r>
        <w:rPr>
          <w:rFonts w:ascii="Times New Roman" w:hAnsi="Times New Roman"/>
          <w:sz w:val="28"/>
          <w:szCs w:val="28"/>
        </w:rPr>
        <w:t>рогноз на второй год планового периода принимается на уровне прогноза первого года планового периода.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Средняя площадь лесных участков, предоставленных по договорам аренды (S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срар</w:t>
      </w:r>
      <w:proofErr w:type="spellEnd"/>
      <w:r>
        <w:rPr>
          <w:rFonts w:ascii="Times New Roman" w:hAnsi="Times New Roman"/>
          <w:sz w:val="28"/>
          <w:szCs w:val="28"/>
        </w:rPr>
        <w:t xml:space="preserve"> )</w:t>
      </w:r>
      <w:proofErr w:type="gramEnd"/>
      <w:r>
        <w:rPr>
          <w:rFonts w:ascii="Times New Roman" w:hAnsi="Times New Roman"/>
          <w:sz w:val="28"/>
          <w:szCs w:val="28"/>
        </w:rPr>
        <w:t xml:space="preserve"> рассчитывается с применением метода скользящей средней по формуле: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S </w:t>
      </w:r>
      <w:proofErr w:type="spellStart"/>
      <w:r>
        <w:rPr>
          <w:rFonts w:ascii="Times New Roman" w:hAnsi="Times New Roman"/>
          <w:sz w:val="28"/>
          <w:szCs w:val="28"/>
        </w:rPr>
        <w:t>срар</w:t>
      </w:r>
      <w:proofErr w:type="spellEnd"/>
      <w:r>
        <w:rPr>
          <w:rFonts w:ascii="Times New Roman" w:hAnsi="Times New Roman"/>
          <w:sz w:val="28"/>
          <w:szCs w:val="28"/>
        </w:rPr>
        <w:t xml:space="preserve"> =∑3t=1 </w:t>
      </w:r>
      <w:proofErr w:type="spellStart"/>
      <w:r>
        <w:rPr>
          <w:rFonts w:ascii="Times New Roman" w:hAnsi="Times New Roman"/>
          <w:sz w:val="28"/>
          <w:szCs w:val="28"/>
        </w:rPr>
        <w:t>Sар</w:t>
      </w:r>
      <w:proofErr w:type="spellEnd"/>
      <w:r>
        <w:rPr>
          <w:rFonts w:ascii="Times New Roman" w:hAnsi="Times New Roman"/>
          <w:sz w:val="28"/>
          <w:szCs w:val="28"/>
        </w:rPr>
        <w:t xml:space="preserve"> /3,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∑3t=1 </w:t>
      </w:r>
      <w:proofErr w:type="spellStart"/>
      <w:r>
        <w:rPr>
          <w:rFonts w:ascii="Times New Roman" w:hAnsi="Times New Roman"/>
          <w:sz w:val="28"/>
          <w:szCs w:val="28"/>
        </w:rPr>
        <w:t>Sар</w:t>
      </w:r>
      <w:proofErr w:type="spellEnd"/>
      <w:r>
        <w:rPr>
          <w:rFonts w:ascii="Times New Roman" w:hAnsi="Times New Roman"/>
          <w:sz w:val="28"/>
          <w:szCs w:val="28"/>
        </w:rPr>
        <w:t xml:space="preserve"> — сумма годовых величин площади лесных участков, предоставленных по договорам аренды за три года. ∑3t=1 </w:t>
      </w:r>
      <w:proofErr w:type="spellStart"/>
      <w:r>
        <w:rPr>
          <w:rFonts w:ascii="Times New Roman" w:hAnsi="Times New Roman"/>
          <w:sz w:val="28"/>
          <w:szCs w:val="28"/>
        </w:rPr>
        <w:t>Vар</w:t>
      </w:r>
      <w:proofErr w:type="spellEnd"/>
      <w:r>
        <w:rPr>
          <w:rFonts w:ascii="Times New Roman" w:hAnsi="Times New Roman"/>
          <w:sz w:val="28"/>
          <w:szCs w:val="28"/>
        </w:rPr>
        <w:t xml:space="preserve">  — сумма годовых величин объемов лесных ресурсов, подлежащих заготовке по договорам аренды лесных участков, за </w:t>
      </w:r>
      <w:r>
        <w:rPr>
          <w:rFonts w:ascii="Times New Roman" w:hAnsi="Times New Roman"/>
          <w:sz w:val="28"/>
          <w:szCs w:val="28"/>
        </w:rPr>
        <w:t>три года, предшествующих прогнозируемому году (т, куб. м, ц, кг и др.), при формировании прогноза на очередной финансовый год используются фактические данные за два отчетных года и прогнозные значения на текущий финансовый год, при формировании прогноза на</w:t>
      </w:r>
      <w:r>
        <w:rPr>
          <w:rFonts w:ascii="Times New Roman" w:hAnsi="Times New Roman"/>
          <w:sz w:val="28"/>
          <w:szCs w:val="28"/>
        </w:rPr>
        <w:t xml:space="preserve">  первый год планового периода используются фактические данные за один отчетный год и прогнозные значения текущего финансового года и очередного финансового года; прогноз на второй год планового периода принимается на уровне прогноза первого года планового</w:t>
      </w:r>
      <w:r>
        <w:rPr>
          <w:rFonts w:ascii="Times New Roman" w:hAnsi="Times New Roman"/>
          <w:sz w:val="28"/>
          <w:szCs w:val="28"/>
        </w:rPr>
        <w:t xml:space="preserve"> периода.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Средний объем древесины, подлежащий заготовке по договорам аренды (Q </w:t>
      </w:r>
      <w:proofErr w:type="spellStart"/>
      <w:r>
        <w:rPr>
          <w:rFonts w:ascii="Times New Roman" w:hAnsi="Times New Roman"/>
          <w:sz w:val="28"/>
          <w:szCs w:val="28"/>
        </w:rPr>
        <w:t>срар</w:t>
      </w:r>
      <w:proofErr w:type="spellEnd"/>
      <w:r>
        <w:rPr>
          <w:rFonts w:ascii="Times New Roman" w:hAnsi="Times New Roman"/>
          <w:sz w:val="28"/>
          <w:szCs w:val="28"/>
        </w:rPr>
        <w:t xml:space="preserve">), средняя площадь лесных участков, предоставленных по договорам аренды (S </w:t>
      </w:r>
      <w:proofErr w:type="spellStart"/>
      <w:r>
        <w:rPr>
          <w:rFonts w:ascii="Times New Roman" w:hAnsi="Times New Roman"/>
          <w:sz w:val="28"/>
          <w:szCs w:val="28"/>
        </w:rPr>
        <w:t>срар</w:t>
      </w:r>
      <w:proofErr w:type="spellEnd"/>
      <w:r>
        <w:rPr>
          <w:rFonts w:ascii="Times New Roman" w:hAnsi="Times New Roman"/>
          <w:sz w:val="28"/>
          <w:szCs w:val="28"/>
        </w:rPr>
        <w:t>), средний объем лесных ресурсов (за исключением древесины), подлежащий заготовке по договорам</w:t>
      </w:r>
      <w:r>
        <w:rPr>
          <w:rFonts w:ascii="Times New Roman" w:hAnsi="Times New Roman"/>
          <w:sz w:val="28"/>
          <w:szCs w:val="28"/>
        </w:rPr>
        <w:t xml:space="preserve"> аренды лесных участков (V </w:t>
      </w:r>
      <w:proofErr w:type="spellStart"/>
      <w:r>
        <w:rPr>
          <w:rFonts w:ascii="Times New Roman" w:hAnsi="Times New Roman"/>
          <w:sz w:val="28"/>
          <w:szCs w:val="28"/>
        </w:rPr>
        <w:t>срар</w:t>
      </w:r>
      <w:proofErr w:type="spellEnd"/>
      <w:r>
        <w:rPr>
          <w:rFonts w:ascii="Times New Roman" w:hAnsi="Times New Roman"/>
          <w:sz w:val="28"/>
          <w:szCs w:val="28"/>
        </w:rPr>
        <w:t>) в текущем финансовом году, очередном финансовом году, первом и втором году планового периода уточняется (корректируется) по итогам предыдущего финансового года (отчетного периода) и с учетом фактического поступления на посл</w:t>
      </w:r>
      <w:r>
        <w:rPr>
          <w:rFonts w:ascii="Times New Roman" w:hAnsi="Times New Roman"/>
          <w:sz w:val="28"/>
          <w:szCs w:val="28"/>
        </w:rPr>
        <w:t>еднюю отчетную дату текущего финансового года.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доходов рассчитан с учетом объема заготовок или площади участка, переданного в аренду, ставки платы, и коэффициента индексации к ставкам платы на 2026 год – 78 290,0 тыс. руб. (расчеты в Приложении к п</w:t>
      </w:r>
      <w:r>
        <w:rPr>
          <w:rFonts w:ascii="Times New Roman" w:hAnsi="Times New Roman"/>
          <w:sz w:val="28"/>
          <w:szCs w:val="28"/>
        </w:rPr>
        <w:t>ояснительной записке).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на второй и третий год планового периода принимается на уровне прогноза первого года планового периода.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коду доходов КБК 130 1 12 04015 02 0000 120</w:t>
      </w:r>
      <w:r>
        <w:rPr>
          <w:rFonts w:ascii="Times New Roman" w:hAnsi="Times New Roman"/>
          <w:sz w:val="28"/>
          <w:szCs w:val="28"/>
        </w:rPr>
        <w:t xml:space="preserve"> (Плата за использование лесов, расположенных на землях лесного фонда, в ча</w:t>
      </w:r>
      <w:r>
        <w:rPr>
          <w:rFonts w:ascii="Times New Roman" w:hAnsi="Times New Roman"/>
          <w:sz w:val="28"/>
          <w:szCs w:val="28"/>
        </w:rPr>
        <w:t>сти платы по договору купли-продажи лесных насаждений для собственных нужд).</w:t>
      </w:r>
    </w:p>
    <w:p w:rsidR="00D22425" w:rsidRDefault="00DB0CA8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План на 2025 год утвержден в сумме 29 030,0 тыс. руб., фактическое поступление за 5 месяцев 2025 года составляет 3 970,0 тыс. руб., или 13% годовых плановых назначений.</w:t>
      </w:r>
      <w:r>
        <w:t xml:space="preserve"> </w:t>
      </w:r>
    </w:p>
    <w:p w:rsidR="00D22425" w:rsidRDefault="00DB0CA8">
      <w:pPr>
        <w:spacing w:after="0" w:line="240" w:lineRule="auto"/>
        <w:ind w:firstLine="709"/>
        <w:jc w:val="both"/>
      </w:pPr>
      <w:r>
        <w:rPr>
          <w:rFonts w:ascii="Times New Roman" w:hAnsi="Times New Roman"/>
          <w:sz w:val="28"/>
          <w:szCs w:val="28"/>
        </w:rPr>
        <w:t>Ожидаемое</w:t>
      </w:r>
      <w:r>
        <w:rPr>
          <w:rFonts w:ascii="Times New Roman" w:hAnsi="Times New Roman"/>
          <w:sz w:val="28"/>
          <w:szCs w:val="28"/>
        </w:rPr>
        <w:t xml:space="preserve"> поступление доходов в 2025 году – 29 030,0 тыс. руб., рассчитано с учетом максимального объема заготовки древесины по договорам купли-продажи лесных насаждений для собственных нужд.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прогноза поступлений платы за использование лесов, расположенных н</w:t>
      </w:r>
      <w:r>
        <w:rPr>
          <w:rFonts w:ascii="Times New Roman" w:hAnsi="Times New Roman"/>
          <w:sz w:val="28"/>
          <w:szCs w:val="28"/>
        </w:rPr>
        <w:t>а землях лесного фонда, в части платы по договору купли-продажи лесных насаждений для собственных нужд производится по формуле: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lastRenderedPageBreak/>
        <w:t>Пк-пр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сн</w:t>
      </w:r>
      <w:proofErr w:type="spellEnd"/>
      <w:r>
        <w:rPr>
          <w:rFonts w:ascii="Times New Roman" w:hAnsi="Times New Roman"/>
          <w:sz w:val="28"/>
          <w:szCs w:val="28"/>
        </w:rPr>
        <w:t>=СQ к-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* Q </w:t>
      </w:r>
      <w:proofErr w:type="spellStart"/>
      <w:r>
        <w:rPr>
          <w:rFonts w:ascii="Times New Roman" w:hAnsi="Times New Roman"/>
          <w:sz w:val="28"/>
          <w:szCs w:val="28"/>
        </w:rPr>
        <w:t>срк-пр</w:t>
      </w:r>
      <w:proofErr w:type="spellEnd"/>
      <w:r>
        <w:rPr>
          <w:rFonts w:ascii="Times New Roman" w:hAnsi="Times New Roman"/>
          <w:sz w:val="28"/>
          <w:szCs w:val="28"/>
        </w:rPr>
        <w:t xml:space="preserve"> + </w:t>
      </w:r>
      <w:proofErr w:type="spellStart"/>
      <w:r>
        <w:rPr>
          <w:rFonts w:ascii="Times New Roman" w:hAnsi="Times New Roman"/>
          <w:sz w:val="28"/>
          <w:szCs w:val="28"/>
        </w:rPr>
        <w:t>Zср</w:t>
      </w:r>
      <w:proofErr w:type="spellEnd"/>
      <w:r>
        <w:rPr>
          <w:rFonts w:ascii="Times New Roman" w:hAnsi="Times New Roman"/>
          <w:sz w:val="28"/>
          <w:szCs w:val="28"/>
        </w:rPr>
        <w:t xml:space="preserve"> к-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 ±</w:t>
      </w:r>
      <w:proofErr w:type="gramEnd"/>
      <w:r>
        <w:rPr>
          <w:rFonts w:ascii="Times New Roman" w:hAnsi="Times New Roman"/>
          <w:sz w:val="28"/>
          <w:szCs w:val="28"/>
        </w:rPr>
        <w:t xml:space="preserve"> R,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СQ к-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– средняя ставка, превышающая минимальную ставку, платы за единицу объ</w:t>
      </w:r>
      <w:r>
        <w:rPr>
          <w:rFonts w:ascii="Times New Roman" w:hAnsi="Times New Roman"/>
          <w:sz w:val="28"/>
          <w:szCs w:val="28"/>
        </w:rPr>
        <w:t>ема древесины по договорам купли-продажи лесных насаждений, сложившаяся по итогам предыдущего финансового года и приведенная к уровню 2007 года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К1 – коэффициент к ставкам платы за единицу объема лесных ресурсов (древесины), установленный Правител</w:t>
      </w:r>
      <w:r>
        <w:rPr>
          <w:rFonts w:ascii="Times New Roman" w:hAnsi="Times New Roman"/>
          <w:sz w:val="28"/>
          <w:szCs w:val="28"/>
        </w:rPr>
        <w:t>ьством Российской Федерации соответственно на очередной финансовый год и на плановый период;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Q </w:t>
      </w:r>
      <w:proofErr w:type="spellStart"/>
      <w:r>
        <w:rPr>
          <w:rFonts w:ascii="Times New Roman" w:hAnsi="Times New Roman"/>
          <w:sz w:val="28"/>
          <w:szCs w:val="28"/>
        </w:rPr>
        <w:t>срк-пр</w:t>
      </w:r>
      <w:proofErr w:type="spellEnd"/>
      <w:r>
        <w:rPr>
          <w:rFonts w:ascii="Times New Roman" w:hAnsi="Times New Roman"/>
          <w:sz w:val="28"/>
          <w:szCs w:val="28"/>
        </w:rPr>
        <w:t xml:space="preserve"> – средний объем древесины, подлежащий заготовке по договорам купли-продажи лесных насаждений соответственно в очередном финансовом году, первом и втором г</w:t>
      </w:r>
      <w:r>
        <w:rPr>
          <w:rFonts w:ascii="Times New Roman" w:hAnsi="Times New Roman"/>
          <w:sz w:val="28"/>
          <w:szCs w:val="28"/>
        </w:rPr>
        <w:t>оду планового периода 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куб.м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), рассчитывается с применением метода скользящей средней по формуле: 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Q </w:t>
      </w:r>
      <w:proofErr w:type="spellStart"/>
      <w:r>
        <w:rPr>
          <w:rFonts w:ascii="Times New Roman" w:hAnsi="Times New Roman"/>
          <w:sz w:val="28"/>
          <w:szCs w:val="28"/>
        </w:rPr>
        <w:t>срк-пр</w:t>
      </w:r>
      <w:proofErr w:type="spellEnd"/>
      <w:r>
        <w:rPr>
          <w:rFonts w:ascii="Times New Roman" w:hAnsi="Times New Roman"/>
          <w:sz w:val="28"/>
          <w:szCs w:val="28"/>
        </w:rPr>
        <w:t xml:space="preserve"> =∑3t=1 </w:t>
      </w:r>
      <w:proofErr w:type="spellStart"/>
      <w:r>
        <w:rPr>
          <w:rFonts w:ascii="Times New Roman" w:hAnsi="Times New Roman"/>
          <w:sz w:val="28"/>
          <w:szCs w:val="28"/>
        </w:rPr>
        <w:t>Qк-пр</w:t>
      </w:r>
      <w:proofErr w:type="spellEnd"/>
      <w:r>
        <w:rPr>
          <w:rFonts w:ascii="Times New Roman" w:hAnsi="Times New Roman"/>
          <w:sz w:val="28"/>
          <w:szCs w:val="28"/>
        </w:rPr>
        <w:t xml:space="preserve"> /3,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∑3t=1 </w:t>
      </w:r>
      <w:proofErr w:type="spellStart"/>
      <w:r>
        <w:rPr>
          <w:rFonts w:ascii="Times New Roman" w:hAnsi="Times New Roman"/>
          <w:sz w:val="28"/>
          <w:szCs w:val="28"/>
        </w:rPr>
        <w:t>Qк-пр</w:t>
      </w:r>
      <w:proofErr w:type="spellEnd"/>
      <w:r>
        <w:rPr>
          <w:rFonts w:ascii="Times New Roman" w:hAnsi="Times New Roman"/>
          <w:sz w:val="28"/>
          <w:szCs w:val="28"/>
        </w:rPr>
        <w:t xml:space="preserve">  — сумма годовых величин объемов древесины, подлежащих заготовке по договорам купли-продажи, за три года, предшест</w:t>
      </w:r>
      <w:r>
        <w:rPr>
          <w:rFonts w:ascii="Times New Roman" w:hAnsi="Times New Roman"/>
          <w:sz w:val="28"/>
          <w:szCs w:val="28"/>
        </w:rPr>
        <w:t>вующих прогнозируемому году (куб. м), при формировании прогноза на очередной финансовый год используются фактические данные за два отчетных года и прогнозные значения на текущий финансовый год, при формировании прогноза на  первый год планового периода исп</w:t>
      </w:r>
      <w:r>
        <w:rPr>
          <w:rFonts w:ascii="Times New Roman" w:hAnsi="Times New Roman"/>
          <w:sz w:val="28"/>
          <w:szCs w:val="28"/>
        </w:rPr>
        <w:t>ользуются фактические данные за один отчетный год и прогнозные значения текущего финансового года и очередного финансового года; прогноз на второй год планового периода принимается на уровне прогноза первого года планового периода);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Zср</w:t>
      </w:r>
      <w:proofErr w:type="spellEnd"/>
      <w:r>
        <w:rPr>
          <w:rFonts w:ascii="Times New Roman" w:hAnsi="Times New Roman"/>
          <w:sz w:val="28"/>
          <w:szCs w:val="28"/>
        </w:rPr>
        <w:t xml:space="preserve"> к-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– средний разм</w:t>
      </w:r>
      <w:r>
        <w:rPr>
          <w:rFonts w:ascii="Times New Roman" w:hAnsi="Times New Roman"/>
          <w:sz w:val="28"/>
          <w:szCs w:val="28"/>
        </w:rPr>
        <w:t>ер дебиторской задолженности (недоимки) по договорам купли-продажи лесных насаждений, возможный к поступлению, соответственно в очередном финансовом году, первом и втором году планового периода (рублей). Определяется по формуле: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Zср</w:t>
      </w:r>
      <w:proofErr w:type="spellEnd"/>
      <w:r>
        <w:rPr>
          <w:rFonts w:ascii="Times New Roman" w:hAnsi="Times New Roman"/>
          <w:sz w:val="28"/>
          <w:szCs w:val="28"/>
        </w:rPr>
        <w:t xml:space="preserve"> к-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proofErr w:type="gramStart"/>
      <w:r>
        <w:rPr>
          <w:rFonts w:ascii="Times New Roman" w:hAnsi="Times New Roman"/>
          <w:sz w:val="28"/>
          <w:szCs w:val="28"/>
        </w:rPr>
        <w:t>=(</w:t>
      </w:r>
      <w:proofErr w:type="gramEnd"/>
      <w:r>
        <w:rPr>
          <w:rFonts w:ascii="Times New Roman" w:hAnsi="Times New Roman"/>
          <w:sz w:val="28"/>
          <w:szCs w:val="28"/>
        </w:rPr>
        <w:t xml:space="preserve">∑3t=1 </w:t>
      </w:r>
      <w:proofErr w:type="spellStart"/>
      <w:r>
        <w:rPr>
          <w:rFonts w:ascii="Times New Roman" w:hAnsi="Times New Roman"/>
          <w:sz w:val="28"/>
          <w:szCs w:val="28"/>
        </w:rPr>
        <w:t>Zк-пр</w:t>
      </w:r>
      <w:proofErr w:type="spellEnd"/>
      <w:r>
        <w:rPr>
          <w:rFonts w:ascii="Times New Roman" w:hAnsi="Times New Roman"/>
          <w:sz w:val="28"/>
          <w:szCs w:val="28"/>
        </w:rPr>
        <w:t xml:space="preserve"> /3)*(</w:t>
      </w:r>
      <w:r>
        <w:rPr>
          <w:rFonts w:ascii="Times New Roman" w:hAnsi="Times New Roman"/>
          <w:sz w:val="28"/>
          <w:szCs w:val="28"/>
        </w:rPr>
        <w:t>∑3t=1 k /3/100) 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∑3t=1 </w:t>
      </w:r>
      <w:proofErr w:type="spellStart"/>
      <w:r>
        <w:rPr>
          <w:rFonts w:ascii="Times New Roman" w:hAnsi="Times New Roman"/>
          <w:sz w:val="28"/>
          <w:szCs w:val="28"/>
        </w:rPr>
        <w:t>Zк-пр</w:t>
      </w:r>
      <w:proofErr w:type="spellEnd"/>
      <w:r>
        <w:rPr>
          <w:rFonts w:ascii="Times New Roman" w:hAnsi="Times New Roman"/>
          <w:sz w:val="28"/>
          <w:szCs w:val="28"/>
        </w:rPr>
        <w:t xml:space="preserve"> – сумма годовых величин задолженности (недоимки), возможной к взысканию (общая сумма недоимки, включая долги прошлых периодов, за минусом безнадежной), по договорам купли-продажи лесных насаждений за три отчетных года, пр</w:t>
      </w:r>
      <w:r>
        <w:rPr>
          <w:rFonts w:ascii="Times New Roman" w:hAnsi="Times New Roman"/>
          <w:sz w:val="28"/>
          <w:szCs w:val="28"/>
        </w:rPr>
        <w:t>едшествующих прогнозируемому году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∑3t=1 k – сумма процентов взыскания Федеральной службой судебных приставов задолженности (недоимки) по договорам купли-продажи лесных насаждений от задолженности, находящейся у нее на рассмотрении, за три отчетны</w:t>
      </w:r>
      <w:r>
        <w:rPr>
          <w:rFonts w:ascii="Times New Roman" w:hAnsi="Times New Roman"/>
          <w:sz w:val="28"/>
          <w:szCs w:val="28"/>
        </w:rPr>
        <w:t>х года, предшествующих прогнозируемому году (%);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 – процент взыскания Федеральной службой судебных приставов задолженности (недоимки) по договорам купли-продажи лесных насаждений от задолженности, находящейся у нее на рассмотрении, по итогам отчетного год</w:t>
      </w:r>
      <w:r>
        <w:rPr>
          <w:rFonts w:ascii="Times New Roman" w:hAnsi="Times New Roman"/>
          <w:sz w:val="28"/>
          <w:szCs w:val="28"/>
        </w:rPr>
        <w:t>а определяется по формуле: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k = Z </w:t>
      </w:r>
      <w:proofErr w:type="spellStart"/>
      <w:r>
        <w:rPr>
          <w:rFonts w:ascii="Times New Roman" w:hAnsi="Times New Roman"/>
          <w:sz w:val="28"/>
          <w:szCs w:val="28"/>
        </w:rPr>
        <w:t>ФССПк-пр</w:t>
      </w:r>
      <w:proofErr w:type="spellEnd"/>
      <w:r>
        <w:rPr>
          <w:rFonts w:ascii="Times New Roman" w:hAnsi="Times New Roman"/>
          <w:sz w:val="28"/>
          <w:szCs w:val="28"/>
        </w:rPr>
        <w:t xml:space="preserve"> / Z </w:t>
      </w:r>
      <w:proofErr w:type="spellStart"/>
      <w:r>
        <w:rPr>
          <w:rFonts w:ascii="Times New Roman" w:hAnsi="Times New Roman"/>
          <w:sz w:val="28"/>
          <w:szCs w:val="28"/>
        </w:rPr>
        <w:t>взыскк-пр</w:t>
      </w:r>
      <w:proofErr w:type="spellEnd"/>
      <w:r>
        <w:rPr>
          <w:rFonts w:ascii="Times New Roman" w:hAnsi="Times New Roman"/>
          <w:sz w:val="28"/>
          <w:szCs w:val="28"/>
        </w:rPr>
        <w:t xml:space="preserve"> *100, 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Z </w:t>
      </w:r>
      <w:proofErr w:type="spellStart"/>
      <w:r>
        <w:rPr>
          <w:rFonts w:ascii="Times New Roman" w:hAnsi="Times New Roman"/>
          <w:sz w:val="28"/>
          <w:szCs w:val="28"/>
        </w:rPr>
        <w:t>ФССПк-пр</w:t>
      </w:r>
      <w:proofErr w:type="spellEnd"/>
      <w:r>
        <w:rPr>
          <w:rFonts w:ascii="Times New Roman" w:hAnsi="Times New Roman"/>
          <w:sz w:val="28"/>
          <w:szCs w:val="28"/>
        </w:rPr>
        <w:t xml:space="preserve"> – сумма задолженности (недоимки) по договорам купли-продажи лесных насаждений, находящейся на принудительном взыскании в Федеральной службе судебных приставов (ведется исполнител</w:t>
      </w:r>
      <w:r>
        <w:rPr>
          <w:rFonts w:ascii="Times New Roman" w:hAnsi="Times New Roman"/>
          <w:sz w:val="28"/>
          <w:szCs w:val="28"/>
        </w:rPr>
        <w:t>ьное производство, возбужденное до 1 января отчетного года, и возбужденное исполнительное производство в отчетном году)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Z </w:t>
      </w:r>
      <w:proofErr w:type="spellStart"/>
      <w:r>
        <w:rPr>
          <w:rFonts w:ascii="Times New Roman" w:hAnsi="Times New Roman"/>
          <w:sz w:val="28"/>
          <w:szCs w:val="28"/>
        </w:rPr>
        <w:t>взыскк-пр</w:t>
      </w:r>
      <w:proofErr w:type="spellEnd"/>
      <w:r>
        <w:rPr>
          <w:rFonts w:ascii="Times New Roman" w:hAnsi="Times New Roman"/>
          <w:sz w:val="28"/>
          <w:szCs w:val="28"/>
        </w:rPr>
        <w:t xml:space="preserve"> – всего взыскано платежей по договорам купли-продажи лесных насаждений Федеральной службой судебных приставов в о</w:t>
      </w:r>
      <w:r>
        <w:rPr>
          <w:rFonts w:ascii="Times New Roman" w:hAnsi="Times New Roman"/>
          <w:sz w:val="28"/>
          <w:szCs w:val="28"/>
        </w:rPr>
        <w:t>тчетном году (рублей).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R – корректирующая сумма поступлений, учитывающая отдельные решения Губернатора Новосибирской области, Правительства Новосибирской области и другие факторы, влияющие на объем прогнозируемых доходов соответственно в очередном финансов</w:t>
      </w:r>
      <w:r>
        <w:rPr>
          <w:rFonts w:ascii="Times New Roman" w:hAnsi="Times New Roman"/>
          <w:sz w:val="28"/>
          <w:szCs w:val="28"/>
        </w:rPr>
        <w:t>ому году, первом и втором году планового периода (рублей).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Средняя ставка, превышающая минимальную ставку платы за единицу объема древесины по договорам купли-продажи лесных насаждений, сложившаяся по итогам предыдущего финансового года и приведенная к уро</w:t>
      </w:r>
      <w:r>
        <w:rPr>
          <w:rFonts w:ascii="Times New Roman" w:hAnsi="Times New Roman"/>
          <w:sz w:val="28"/>
          <w:szCs w:val="28"/>
        </w:rPr>
        <w:t>вню 2007 года (СQ к-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>) рассчитывается по формуле: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СQ к-</w:t>
      </w:r>
      <w:proofErr w:type="spellStart"/>
      <w:r>
        <w:rPr>
          <w:rFonts w:ascii="Times New Roman" w:hAnsi="Times New Roman"/>
          <w:sz w:val="28"/>
          <w:szCs w:val="28"/>
        </w:rPr>
        <w:t>пр</w:t>
      </w:r>
      <w:proofErr w:type="spellEnd"/>
      <w:r>
        <w:rPr>
          <w:rFonts w:ascii="Times New Roman" w:hAnsi="Times New Roman"/>
          <w:sz w:val="28"/>
          <w:szCs w:val="28"/>
        </w:rPr>
        <w:t xml:space="preserve"> =</w:t>
      </w:r>
      <w:proofErr w:type="spellStart"/>
      <w:r>
        <w:rPr>
          <w:rFonts w:ascii="Times New Roman" w:hAnsi="Times New Roman"/>
          <w:sz w:val="28"/>
          <w:szCs w:val="28"/>
        </w:rPr>
        <w:t>Пк-пр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причОБ</w:t>
      </w:r>
      <w:proofErr w:type="spellEnd"/>
      <w:r>
        <w:rPr>
          <w:rFonts w:ascii="Times New Roman" w:hAnsi="Times New Roman"/>
          <w:sz w:val="28"/>
          <w:szCs w:val="28"/>
        </w:rPr>
        <w:t xml:space="preserve">/ </w:t>
      </w:r>
      <w:proofErr w:type="spellStart"/>
      <w:r>
        <w:rPr>
          <w:rFonts w:ascii="Times New Roman" w:hAnsi="Times New Roman"/>
          <w:sz w:val="28"/>
          <w:szCs w:val="28"/>
        </w:rPr>
        <w:t>Qк-пр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</w:t>
      </w:r>
      <w:proofErr w:type="spellEnd"/>
      <w:r>
        <w:rPr>
          <w:rFonts w:ascii="Times New Roman" w:hAnsi="Times New Roman"/>
          <w:sz w:val="28"/>
          <w:szCs w:val="28"/>
        </w:rPr>
        <w:t>/К пред год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Пк-пр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причОБ</w:t>
      </w:r>
      <w:proofErr w:type="spellEnd"/>
      <w:r>
        <w:rPr>
          <w:rFonts w:ascii="Times New Roman" w:hAnsi="Times New Roman"/>
          <w:sz w:val="28"/>
          <w:szCs w:val="28"/>
        </w:rPr>
        <w:t>– причитающийся в бюджет Новосибирской области объем платежей за заготовку древесины по договорам купли-продажи лесных насаждений в предыдущем финансовом году (рублей);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Qк-пр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предост</w:t>
      </w:r>
      <w:proofErr w:type="spellEnd"/>
      <w:r>
        <w:rPr>
          <w:rFonts w:ascii="Times New Roman" w:hAnsi="Times New Roman"/>
          <w:sz w:val="28"/>
          <w:szCs w:val="28"/>
        </w:rPr>
        <w:t xml:space="preserve"> – объем древесины, предоставленный для заготовки по договорам</w:t>
      </w:r>
      <w:r>
        <w:rPr>
          <w:rFonts w:ascii="Times New Roman" w:hAnsi="Times New Roman"/>
          <w:sz w:val="28"/>
          <w:szCs w:val="28"/>
        </w:rPr>
        <w:t xml:space="preserve"> купли-продажи лесных насаждений в предыдущем финансовом году (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куб.м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);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К1 пред год – коэффициент к ставкам платы за единицу объема лесных ресурсов (древесины), установленный Правительством Российской Федерации в предыдущем финансовом году.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Прогноз доходов </w:t>
      </w:r>
      <w:r>
        <w:rPr>
          <w:rFonts w:ascii="Times New Roman" w:hAnsi="Times New Roman"/>
          <w:sz w:val="28"/>
          <w:szCs w:val="28"/>
        </w:rPr>
        <w:t>рассчитан с учетом объема заготовок и ставки платы на 2026 год – 34 866,0 тыс. руб. (расчеты в Приложении к пояснительной записке).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на второй и третий год планового периода принимается на уровне прогноза первого года планового периода.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</w:rPr>
        <w:t xml:space="preserve">По </w:t>
      </w:r>
      <w:r>
        <w:rPr>
          <w:rFonts w:ascii="Times New Roman" w:hAnsi="Times New Roman"/>
          <w:b/>
          <w:sz w:val="28"/>
          <w:szCs w:val="28"/>
        </w:rPr>
        <w:t>коду доходов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130 1 13 01410 01 0000 130</w:t>
      </w:r>
      <w:r>
        <w:rPr>
          <w:rFonts w:ascii="Times New Roman" w:hAnsi="Times New Roman"/>
          <w:sz w:val="28"/>
          <w:szCs w:val="28"/>
        </w:rPr>
        <w:t xml:space="preserve"> (Плата за предоставление государственными органами субъектов Российской Федерации, казенными учреждениями субъектов Российской Федерации сведений, документов, содержащихся в государственных реестрах (регистрах), веде</w:t>
      </w:r>
      <w:r>
        <w:rPr>
          <w:rFonts w:ascii="Times New Roman" w:hAnsi="Times New Roman"/>
          <w:sz w:val="28"/>
          <w:szCs w:val="28"/>
        </w:rPr>
        <w:t xml:space="preserve">ние которых </w:t>
      </w:r>
      <w:r>
        <w:rPr>
          <w:rFonts w:ascii="Times New Roman" w:hAnsi="Times New Roman"/>
          <w:sz w:val="28"/>
          <w:szCs w:val="28"/>
          <w:highlight w:val="white"/>
        </w:rPr>
        <w:t>осуществляется данными государственными органами, учреждениями).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План на 2025 год утвержден в сумме 115,0 тыс. руб., фактическое поступление за 5 месяцев 2025 года составляет 3,9 тыс. руб., или 3% от плана.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>Ожидаемое поступление дохода в 2025 г</w:t>
      </w:r>
      <w:r>
        <w:rPr>
          <w:rFonts w:ascii="Times New Roman" w:hAnsi="Times New Roman"/>
          <w:sz w:val="28"/>
          <w:szCs w:val="28"/>
          <w:highlight w:val="white"/>
        </w:rPr>
        <w:t>оду 3,9 тыс. рублей.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eastAsia="Times New Roman" w:hAnsi="Times New Roman"/>
          <w:sz w:val="28"/>
          <w:szCs w:val="28"/>
          <w:highlight w:val="white"/>
        </w:rPr>
        <w:t>В связи с вступлением в силу Приказа Минприроды России от 26.08.2022 N 570 «Об утверждении Порядка предоставления сведений, содержащихся в государственном лесном реестре, за исключением сведений, доступ к которым ограничен Правительств</w:t>
      </w:r>
      <w:r>
        <w:rPr>
          <w:rFonts w:ascii="Times New Roman" w:eastAsia="Times New Roman" w:hAnsi="Times New Roman"/>
          <w:sz w:val="28"/>
          <w:szCs w:val="28"/>
          <w:highlight w:val="white"/>
        </w:rPr>
        <w:t xml:space="preserve">ом Российской Федерации», полномочия по предоставлению сведений, содержащихся в государственном лесном реестре,  с 01.01.2025 переданы на федеральный уровень, </w:t>
      </w:r>
      <w:r>
        <w:rPr>
          <w:rFonts w:ascii="Times New Roman" w:hAnsi="Times New Roman"/>
          <w:sz w:val="28"/>
          <w:szCs w:val="28"/>
          <w:highlight w:val="white"/>
        </w:rPr>
        <w:t xml:space="preserve">в 2026-2028 годах поступления не планируются. 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  <w:t xml:space="preserve">По </w:t>
      </w:r>
      <w:r>
        <w:rPr>
          <w:rFonts w:ascii="Times New Roman" w:hAnsi="Times New Roman"/>
          <w:b/>
          <w:sz w:val="28"/>
          <w:szCs w:val="28"/>
          <w:highlight w:val="white"/>
        </w:rPr>
        <w:t>коду доходов 130 1 13 02992 02 0000 130.</w:t>
      </w:r>
      <w:r>
        <w:rPr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>(Прочи</w:t>
      </w:r>
      <w:r>
        <w:rPr>
          <w:rFonts w:ascii="Times New Roman" w:hAnsi="Times New Roman"/>
          <w:sz w:val="28"/>
          <w:szCs w:val="28"/>
          <w:highlight w:val="white"/>
        </w:rPr>
        <w:t>е доходы от компенсации затрат бюджетов субъектов Российской Федерации).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План на 2025 год утвержден в объеме 95,6 тыс. руб. (из расчета проведения 1 государственной экологической экспертизы – (далее – ГЭЭ). 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отчетном периоде 2025 года по данному коду до</w:t>
      </w:r>
      <w:r>
        <w:rPr>
          <w:rFonts w:ascii="Times New Roman" w:hAnsi="Times New Roman"/>
          <w:sz w:val="28"/>
          <w:szCs w:val="28"/>
        </w:rPr>
        <w:t xml:space="preserve">ходов сверх плана поступили средства по восстановленной дебиторской задолженности за </w:t>
      </w:r>
      <w:r>
        <w:rPr>
          <w:rFonts w:ascii="Times New Roman" w:hAnsi="Times New Roman"/>
          <w:sz w:val="28"/>
          <w:szCs w:val="28"/>
        </w:rPr>
        <w:lastRenderedPageBreak/>
        <w:t>невыполненные работы и не поставленные материалы по государственным контрактам от юридических лиц (в том числе подведомственных министерству).</w:t>
      </w:r>
    </w:p>
    <w:p w:rsidR="00D22425" w:rsidRDefault="00DB0C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Расчет прогноза поступлений </w:t>
      </w:r>
      <w:r>
        <w:rPr>
          <w:rFonts w:ascii="Times New Roman" w:hAnsi="Times New Roman"/>
          <w:sz w:val="28"/>
          <w:szCs w:val="28"/>
        </w:rPr>
        <w:t>от компенсации затрат по организации и проведению ГЭЭ объектов регионального уровня в Новосибирской области, производится по формуле:</w:t>
      </w:r>
    </w:p>
    <w:p w:rsidR="00D22425" w:rsidRDefault="00DB0CA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СГЭЭ = КГЭЭ х ЗГЭЭ *, где:</w:t>
      </w:r>
    </w:p>
    <w:p w:rsidR="00D22425" w:rsidRDefault="00DB0CA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СГЭЭ - прогнозируемая сумма поступлений от компенсации затрат по организации и проведению ГЭЭ, 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(тыс. руб. за год);</w:t>
      </w:r>
    </w:p>
    <w:p w:rsidR="00D22425" w:rsidRDefault="00DB0CA8">
      <w:pPr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КГЭЭ – количество планируемых к проведению ГЭЭ, (шт. за год);</w:t>
      </w:r>
    </w:p>
    <w:p w:rsidR="00D22425" w:rsidRDefault="00DB0CA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ЗГЭЭ – фактические затраты на проведение одной ГЭЭ, согласно утвержденной сметы расходов</w:t>
      </w:r>
      <w:r>
        <w:t xml:space="preserve"> (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тыс. руб.).</w:t>
      </w:r>
    </w:p>
    <w:p w:rsidR="00D22425" w:rsidRDefault="00DB0CA8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* </w:t>
      </w:r>
      <w:r>
        <w:rPr>
          <w:rFonts w:ascii="Times New Roman" w:hAnsi="Times New Roman"/>
          <w:sz w:val="28"/>
          <w:szCs w:val="28"/>
          <w:lang w:eastAsia="ru-RU"/>
        </w:rPr>
        <w:t>фактические затраты на проведение одной ГЭЭ</w:t>
      </w:r>
      <w:r>
        <w:rPr>
          <w:rFonts w:ascii="Times New Roman" w:hAnsi="Times New Roman"/>
          <w:sz w:val="28"/>
          <w:szCs w:val="28"/>
        </w:rPr>
        <w:t xml:space="preserve"> рассчитаны в соответствии </w:t>
      </w:r>
      <w:r>
        <w:rPr>
          <w:rFonts w:ascii="Times New Roman" w:hAnsi="Times New Roman"/>
          <w:sz w:val="28"/>
          <w:szCs w:val="28"/>
        </w:rPr>
        <w:t>со сметой расходов на проведение ГЭЭ в порядке, установленном приказами Минприроды РФ от 23.09.2013 № 404 «Об утверждении порядка оплаты труда внештатных экспертов государственной экологической экспертизы», от 12.05.2014 №205 «Об утверждении порядка опреде</w:t>
      </w:r>
      <w:r>
        <w:rPr>
          <w:rFonts w:ascii="Times New Roman" w:hAnsi="Times New Roman"/>
          <w:sz w:val="28"/>
          <w:szCs w:val="28"/>
        </w:rPr>
        <w:t>ления сметы расходов на проведение государственной экологической экспертизы».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доходов в 2026 году составляет 95,6 тыс. руб. (1 ГЭЭ х 95,6 тыс. руб.). Прогноз на второй и третий год планового периода принимается на уровне прогноза первого года плано</w:t>
      </w:r>
      <w:r>
        <w:rPr>
          <w:rFonts w:ascii="Times New Roman" w:hAnsi="Times New Roman"/>
          <w:sz w:val="28"/>
          <w:szCs w:val="28"/>
        </w:rPr>
        <w:t>вого периода.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ГЭЭ носит заявительный характер, в связи с чем, планирование ее проведения на предстоящий финансовый год является ориентировочным, приблизительным и зависит от объемов финансирования заказчика экспертизы.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Доходы от денежных взысканий (штрафов), неустоек и пеней: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 коду доходов 130 1 16 01072 01 0000 140</w:t>
      </w:r>
      <w:r>
        <w:rPr>
          <w:rFonts w:ascii="Times New Roman" w:hAnsi="Times New Roman"/>
          <w:sz w:val="28"/>
          <w:szCs w:val="28"/>
        </w:rPr>
        <w:t>- «Административные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</w:t>
      </w:r>
      <w:r>
        <w:rPr>
          <w:rFonts w:ascii="Times New Roman" w:hAnsi="Times New Roman"/>
          <w:sz w:val="28"/>
          <w:szCs w:val="28"/>
        </w:rPr>
        <w:t>бласти охраны окружающей среды и природопользования, налагаемые должностными лицами органов исполнительной власти субъектов Российской Федерации, учреждениями субъектов Российской Федерации»;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коду доходов 130 1 16 01082 01 0000 140</w:t>
      </w:r>
      <w:r>
        <w:rPr>
          <w:rFonts w:ascii="Times New Roman" w:hAnsi="Times New Roman"/>
          <w:sz w:val="28"/>
          <w:szCs w:val="28"/>
        </w:rPr>
        <w:t xml:space="preserve"> –«Административные шт</w:t>
      </w:r>
      <w:r>
        <w:rPr>
          <w:rFonts w:ascii="Times New Roman" w:hAnsi="Times New Roman"/>
          <w:sz w:val="28"/>
          <w:szCs w:val="28"/>
        </w:rPr>
        <w:t>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должностными лицами органов исполнительной власти субъектов</w:t>
      </w:r>
      <w:r>
        <w:rPr>
          <w:rFonts w:ascii="Times New Roman" w:hAnsi="Times New Roman"/>
          <w:sz w:val="28"/>
          <w:szCs w:val="28"/>
        </w:rPr>
        <w:t xml:space="preserve"> Российской Федерации, учреждениями субъектов Российской Федерации»;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коду доходов 130 1 16 07010 02 0000 140</w:t>
      </w:r>
      <w:r>
        <w:rPr>
          <w:rFonts w:ascii="Times New Roman" w:hAnsi="Times New Roman"/>
          <w:sz w:val="28"/>
          <w:szCs w:val="28"/>
        </w:rPr>
        <w:t xml:space="preserve"> - «Штрафы, неустойки, пени, уплаченные в случае просрочки исполнения поставщиком (подрядчиком, исполнителем) обязательств, предусмотренных госуд</w:t>
      </w:r>
      <w:r>
        <w:rPr>
          <w:rFonts w:ascii="Times New Roman" w:hAnsi="Times New Roman"/>
          <w:sz w:val="28"/>
          <w:szCs w:val="28"/>
        </w:rPr>
        <w:t>арственным контрактом, заключенным государственным органом субъекта Российской Федерации (казенным учреждением субъекта Российской Федерации)»;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коду доходов 130 1 16 07030 02 0000 140</w:t>
      </w:r>
      <w:r>
        <w:rPr>
          <w:rFonts w:ascii="Times New Roman" w:hAnsi="Times New Roman"/>
          <w:sz w:val="28"/>
          <w:szCs w:val="28"/>
        </w:rPr>
        <w:t xml:space="preserve"> - «Штрафы, неустойки, пени, уплаченные в соответствии с договором аре</w:t>
      </w:r>
      <w:r>
        <w:rPr>
          <w:rFonts w:ascii="Times New Roman" w:hAnsi="Times New Roman"/>
          <w:sz w:val="28"/>
          <w:szCs w:val="28"/>
        </w:rPr>
        <w:t>нды лесного участка или договором купли-продажи лесных насаждений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Федерации»;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 коду доходов 130 1 16 07040 02 0000 140</w:t>
      </w:r>
      <w:r>
        <w:rPr>
          <w:rFonts w:ascii="Times New Roman" w:hAnsi="Times New Roman"/>
          <w:sz w:val="28"/>
          <w:szCs w:val="28"/>
        </w:rPr>
        <w:t xml:space="preserve"> – «Штрафы, неустойки, пени, уплаченные в соответствии с договором водопользования в случае неисполнения или ненадлежащего исполнения обязательств перед государственным органом субъекта Российской Федерации (казенн</w:t>
      </w:r>
      <w:r>
        <w:rPr>
          <w:rFonts w:ascii="Times New Roman" w:hAnsi="Times New Roman"/>
          <w:sz w:val="28"/>
          <w:szCs w:val="28"/>
        </w:rPr>
        <w:t>ым учреждением субъекта Российской Федерации)»;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коду доходов 130 1 16 07090 02 0000 140</w:t>
      </w:r>
      <w:r>
        <w:rPr>
          <w:rFonts w:ascii="Times New Roman" w:hAnsi="Times New Roman"/>
          <w:sz w:val="28"/>
          <w:szCs w:val="28"/>
        </w:rPr>
        <w:t xml:space="preserve"> - «Иные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</w:t>
      </w:r>
      <w:r>
        <w:rPr>
          <w:rFonts w:ascii="Times New Roman" w:hAnsi="Times New Roman"/>
          <w:sz w:val="28"/>
          <w:szCs w:val="28"/>
        </w:rPr>
        <w:t>ным органом субъекта Российской Федерации, казенным учреждением субъекта Российской Федерации»;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коду доходов 130 1 16 11002 01 0000 140 - «</w:t>
      </w:r>
      <w:r>
        <w:rPr>
          <w:rFonts w:ascii="Times New Roman" w:hAnsi="Times New Roman"/>
          <w:sz w:val="28"/>
          <w:szCs w:val="28"/>
        </w:rPr>
        <w:t>Платежи по искам о возмещении вреда, причиненного окружающей среде, а также платежи, уплачиваемые при добровольном</w:t>
      </w:r>
      <w:r>
        <w:rPr>
          <w:rFonts w:ascii="Times New Roman" w:hAnsi="Times New Roman"/>
          <w:sz w:val="28"/>
          <w:szCs w:val="28"/>
        </w:rPr>
        <w:t xml:space="preserve"> возмещении вреда, причиненного окружающей среде на особо охраняемых природных территориях регионального значения».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 коду доходов 130 1 16 10021 02 0000 140 </w:t>
      </w:r>
      <w:r>
        <w:rPr>
          <w:rFonts w:ascii="Times New Roman" w:hAnsi="Times New Roman"/>
          <w:sz w:val="28"/>
          <w:szCs w:val="28"/>
        </w:rPr>
        <w:t>Возмещение ущерба при возникновении страховых случаев, когда выгодоприобретателями выступают полу</w:t>
      </w:r>
      <w:r>
        <w:rPr>
          <w:rFonts w:ascii="Times New Roman" w:hAnsi="Times New Roman"/>
          <w:sz w:val="28"/>
          <w:szCs w:val="28"/>
        </w:rPr>
        <w:t>чатели средств бюджета субъекта Российской Федерации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Платежи имеют несистемный характер. При прогнозировании данного вида доходов на очередной финансовый год и на плановый период применяется метод скользящей средней.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данного вида доходов определяет</w:t>
      </w:r>
      <w:r>
        <w:rPr>
          <w:rFonts w:ascii="Times New Roman" w:hAnsi="Times New Roman"/>
          <w:sz w:val="28"/>
          <w:szCs w:val="28"/>
        </w:rPr>
        <w:t>ся по формуле: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Д= </w:t>
      </w:r>
      <w:r>
        <w:rPr>
          <w:rFonts w:ascii="Times New Roman" w:hAnsi="Times New Roman"/>
          <w:noProof/>
          <w:position w:val="-28"/>
          <w:sz w:val="28"/>
          <w:szCs w:val="28"/>
          <w:u w:val="single"/>
        </w:rPr>
        <w:drawing>
          <wp:inline distT="0" distB="0" distL="0" distR="0">
            <wp:extent cx="352425" cy="428625"/>
            <wp:effectExtent l="0" t="0" r="0" b="0"/>
            <wp:docPr id="1" name="_x0000_i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352425" cy="428625"/>
                    </a:xfrm>
                    <a:prstGeom prst="rect">
                      <a:avLst/>
                    </a:prstGeom>
                    <a:noFill/>
                    <a:ln>
                      <a:noFill/>
                      <a:round/>
                    </a:ln>
                  </pic:spPr>
                </pic:pic>
              </a:graphicData>
            </a:graphic>
          </wp:inline>
        </w:drawing>
      </w:r>
    </w:p>
    <w:p w:rsidR="00D22425" w:rsidRDefault="00DB0CA8">
      <w:pPr>
        <w:spacing w:after="0" w:line="240" w:lineRule="auto"/>
        <w:ind w:left="1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3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где, </w:t>
      </w:r>
      <w:r>
        <w:rPr>
          <w:rFonts w:ascii="Times New Roman" w:hAnsi="Times New Roman"/>
          <w:noProof/>
          <w:position w:val="-28"/>
          <w:sz w:val="28"/>
          <w:szCs w:val="28"/>
        </w:rPr>
        <w:drawing>
          <wp:inline distT="0" distB="0" distL="0" distR="0">
            <wp:extent cx="352425" cy="428625"/>
            <wp:effectExtent l="0" t="0" r="0" b="0"/>
            <wp:docPr id="2" name="_x0000_i10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352425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t>– сумма поступлений по виду доходов за три года, предшествующих прогнозируемому году (при формировании прогноза на очередной финансовый год используются фактические данные за два отчетных года и прогнозные значения на тек</w:t>
      </w:r>
      <w:r>
        <w:rPr>
          <w:rFonts w:ascii="Times New Roman" w:hAnsi="Times New Roman"/>
          <w:sz w:val="28"/>
          <w:szCs w:val="28"/>
        </w:rPr>
        <w:t xml:space="preserve">ущий финансовый год, при формировании прогноза на первый год планового периода используются фактические данные за один отчетный год и прогнозные значения текущего финансового года и очередного финансового года; </w:t>
      </w:r>
    </w:p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Расчет поступлений по КБК,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тыс.рублей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>:</w:t>
      </w:r>
    </w:p>
    <w:p w:rsidR="00D22425" w:rsidRDefault="00D224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102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27"/>
        <w:gridCol w:w="1276"/>
        <w:gridCol w:w="1417"/>
        <w:gridCol w:w="1559"/>
        <w:gridCol w:w="1388"/>
        <w:gridCol w:w="1388"/>
      </w:tblGrid>
      <w:tr w:rsidR="00D22425">
        <w:tc>
          <w:tcPr>
            <w:tcW w:w="3227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КБК</w:t>
            </w:r>
          </w:p>
        </w:tc>
        <w:tc>
          <w:tcPr>
            <w:tcW w:w="2693" w:type="dxa"/>
            <w:gridSpan w:val="2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Фактическое поступление</w:t>
            </w:r>
          </w:p>
        </w:tc>
        <w:tc>
          <w:tcPr>
            <w:tcW w:w="1559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ожидаемое</w:t>
            </w:r>
          </w:p>
        </w:tc>
        <w:tc>
          <w:tcPr>
            <w:tcW w:w="1388" w:type="dxa"/>
            <w:vMerge w:val="restart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position w:val="-28"/>
                <w:sz w:val="28"/>
                <w:szCs w:val="28"/>
              </w:rPr>
              <w:drawing>
                <wp:inline distT="0" distB="0" distL="0" distR="0">
                  <wp:extent cx="352425" cy="428625"/>
                  <wp:effectExtent l="0" t="0" r="0" b="0"/>
                  <wp:docPr id="3" name="_x0000_i1027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/>
                          <a:stretch/>
                        </pic:blipFill>
                        <pic:spPr bwMode="auto">
                          <a:xfrm>
                            <a:off x="0" y="0"/>
                            <a:ext cx="352425" cy="428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rou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88" w:type="dxa"/>
            <w:vMerge w:val="restart"/>
          </w:tcPr>
          <w:p w:rsidR="00D22425" w:rsidRDefault="00D2242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</w:p>
        </w:tc>
      </w:tr>
      <w:tr w:rsidR="00D22425">
        <w:tc>
          <w:tcPr>
            <w:tcW w:w="3227" w:type="dxa"/>
          </w:tcPr>
          <w:p w:rsidR="00D22425" w:rsidRDefault="00D224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2023 год</w:t>
            </w:r>
          </w:p>
        </w:tc>
        <w:tc>
          <w:tcPr>
            <w:tcW w:w="1417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2024 год</w:t>
            </w:r>
          </w:p>
        </w:tc>
        <w:tc>
          <w:tcPr>
            <w:tcW w:w="1559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</w:t>
            </w:r>
          </w:p>
        </w:tc>
        <w:tc>
          <w:tcPr>
            <w:tcW w:w="1388" w:type="dxa"/>
            <w:vMerge/>
          </w:tcPr>
          <w:p w:rsidR="00D22425" w:rsidRDefault="00D224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88" w:type="dxa"/>
            <w:vMerge/>
          </w:tcPr>
          <w:p w:rsidR="00D22425" w:rsidRDefault="00D2242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22425">
        <w:tc>
          <w:tcPr>
            <w:tcW w:w="3227" w:type="dxa"/>
          </w:tcPr>
          <w:p w:rsidR="00D22425" w:rsidRDefault="00DB0CA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130 1 16 01072 01 0000 140</w:t>
            </w:r>
          </w:p>
        </w:tc>
        <w:tc>
          <w:tcPr>
            <w:tcW w:w="1276" w:type="dxa"/>
          </w:tcPr>
          <w:p w:rsidR="00D22425" w:rsidRDefault="00DB0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86,3</w:t>
            </w:r>
          </w:p>
        </w:tc>
        <w:tc>
          <w:tcPr>
            <w:tcW w:w="1417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22,2</w:t>
            </w:r>
          </w:p>
        </w:tc>
        <w:tc>
          <w:tcPr>
            <w:tcW w:w="1559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919,4</w:t>
            </w:r>
          </w:p>
        </w:tc>
        <w:tc>
          <w:tcPr>
            <w:tcW w:w="1388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1 027,9</w:t>
            </w:r>
          </w:p>
        </w:tc>
        <w:tc>
          <w:tcPr>
            <w:tcW w:w="1388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343,0</w:t>
            </w:r>
          </w:p>
        </w:tc>
      </w:tr>
      <w:tr w:rsidR="00D22425">
        <w:tc>
          <w:tcPr>
            <w:tcW w:w="3227" w:type="dxa"/>
          </w:tcPr>
          <w:p w:rsidR="00D22425" w:rsidRDefault="00DB0C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130 1 16 01082 01 0000 140</w:t>
            </w:r>
          </w:p>
        </w:tc>
        <w:tc>
          <w:tcPr>
            <w:tcW w:w="1276" w:type="dxa"/>
          </w:tcPr>
          <w:p w:rsidR="00D22425" w:rsidRDefault="00DB0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5 984,6</w:t>
            </w:r>
          </w:p>
        </w:tc>
        <w:tc>
          <w:tcPr>
            <w:tcW w:w="1417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3 976,6</w:t>
            </w:r>
          </w:p>
        </w:tc>
        <w:tc>
          <w:tcPr>
            <w:tcW w:w="1559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6 490,8</w:t>
            </w:r>
          </w:p>
        </w:tc>
        <w:tc>
          <w:tcPr>
            <w:tcW w:w="1388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16 452,0</w:t>
            </w:r>
          </w:p>
        </w:tc>
        <w:tc>
          <w:tcPr>
            <w:tcW w:w="1388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5 484,0</w:t>
            </w:r>
          </w:p>
        </w:tc>
      </w:tr>
      <w:tr w:rsidR="00D22425">
        <w:tc>
          <w:tcPr>
            <w:tcW w:w="3227" w:type="dxa"/>
          </w:tcPr>
          <w:p w:rsidR="00D22425" w:rsidRDefault="00DB0C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130 1 16 07010 02 0000 140</w:t>
            </w:r>
          </w:p>
        </w:tc>
        <w:tc>
          <w:tcPr>
            <w:tcW w:w="1276" w:type="dxa"/>
          </w:tcPr>
          <w:p w:rsidR="00D22425" w:rsidRDefault="00DB0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132,3</w:t>
            </w:r>
          </w:p>
        </w:tc>
        <w:tc>
          <w:tcPr>
            <w:tcW w:w="1417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38,1</w:t>
            </w:r>
          </w:p>
        </w:tc>
        <w:tc>
          <w:tcPr>
            <w:tcW w:w="1559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247,2</w:t>
            </w:r>
          </w:p>
        </w:tc>
        <w:tc>
          <w:tcPr>
            <w:tcW w:w="1388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417,6</w:t>
            </w:r>
          </w:p>
        </w:tc>
        <w:tc>
          <w:tcPr>
            <w:tcW w:w="1388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140,0</w:t>
            </w:r>
          </w:p>
        </w:tc>
      </w:tr>
      <w:tr w:rsidR="00D22425">
        <w:tc>
          <w:tcPr>
            <w:tcW w:w="3227" w:type="dxa"/>
          </w:tcPr>
          <w:p w:rsidR="00D22425" w:rsidRDefault="00DB0C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130 1 16 07030 02 0000 140</w:t>
            </w:r>
          </w:p>
        </w:tc>
        <w:tc>
          <w:tcPr>
            <w:tcW w:w="1276" w:type="dxa"/>
          </w:tcPr>
          <w:p w:rsidR="00D22425" w:rsidRDefault="00DB0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1 263,2</w:t>
            </w:r>
          </w:p>
        </w:tc>
        <w:tc>
          <w:tcPr>
            <w:tcW w:w="1417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4 429,3</w:t>
            </w:r>
          </w:p>
        </w:tc>
        <w:tc>
          <w:tcPr>
            <w:tcW w:w="1559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885,1</w:t>
            </w:r>
          </w:p>
        </w:tc>
        <w:tc>
          <w:tcPr>
            <w:tcW w:w="1388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6 577,6</w:t>
            </w:r>
          </w:p>
        </w:tc>
        <w:tc>
          <w:tcPr>
            <w:tcW w:w="1388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1 193,0</w:t>
            </w:r>
          </w:p>
        </w:tc>
      </w:tr>
      <w:tr w:rsidR="00D22425">
        <w:tc>
          <w:tcPr>
            <w:tcW w:w="3227" w:type="dxa"/>
          </w:tcPr>
          <w:p w:rsidR="00D22425" w:rsidRDefault="00DB0C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130 1 16 07040 02 0000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140</w:t>
            </w:r>
          </w:p>
        </w:tc>
        <w:tc>
          <w:tcPr>
            <w:tcW w:w="1276" w:type="dxa"/>
          </w:tcPr>
          <w:p w:rsidR="00D22425" w:rsidRDefault="00DB0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24,3</w:t>
            </w:r>
          </w:p>
        </w:tc>
        <w:tc>
          <w:tcPr>
            <w:tcW w:w="1417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41,1</w:t>
            </w:r>
          </w:p>
        </w:tc>
        <w:tc>
          <w:tcPr>
            <w:tcW w:w="1559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31,8</w:t>
            </w:r>
          </w:p>
        </w:tc>
        <w:tc>
          <w:tcPr>
            <w:tcW w:w="1388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97,2</w:t>
            </w:r>
          </w:p>
        </w:tc>
        <w:tc>
          <w:tcPr>
            <w:tcW w:w="1388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32,4</w:t>
            </w:r>
          </w:p>
        </w:tc>
      </w:tr>
      <w:tr w:rsidR="00D22425">
        <w:tc>
          <w:tcPr>
            <w:tcW w:w="3227" w:type="dxa"/>
          </w:tcPr>
          <w:p w:rsidR="00D22425" w:rsidRDefault="00DB0C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130 1 16 07090 02 0000 140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1276" w:type="dxa"/>
          </w:tcPr>
          <w:p w:rsidR="00D22425" w:rsidRDefault="00DB0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2 360,8</w:t>
            </w:r>
          </w:p>
        </w:tc>
        <w:tc>
          <w:tcPr>
            <w:tcW w:w="1417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-498,6</w:t>
            </w:r>
          </w:p>
        </w:tc>
        <w:tc>
          <w:tcPr>
            <w:tcW w:w="1559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1 829,7</w:t>
            </w:r>
          </w:p>
        </w:tc>
        <w:tc>
          <w:tcPr>
            <w:tcW w:w="1388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3 691,1</w:t>
            </w:r>
          </w:p>
        </w:tc>
        <w:tc>
          <w:tcPr>
            <w:tcW w:w="1388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1 230,0</w:t>
            </w:r>
          </w:p>
        </w:tc>
      </w:tr>
      <w:tr w:rsidR="00D22425">
        <w:trPr>
          <w:trHeight w:val="322"/>
        </w:trPr>
        <w:tc>
          <w:tcPr>
            <w:tcW w:w="3227" w:type="dxa"/>
            <w:vMerge w:val="restart"/>
          </w:tcPr>
          <w:p w:rsidR="00D22425" w:rsidRDefault="00DB0C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130 1 16 11020 01 0000 140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-</w:t>
            </w:r>
          </w:p>
        </w:tc>
        <w:tc>
          <w:tcPr>
            <w:tcW w:w="1276" w:type="dxa"/>
            <w:vMerge w:val="restart"/>
          </w:tcPr>
          <w:p w:rsidR="00D22425" w:rsidRDefault="00DB0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1 154,7</w:t>
            </w:r>
          </w:p>
        </w:tc>
        <w:tc>
          <w:tcPr>
            <w:tcW w:w="1417" w:type="dxa"/>
            <w:vMerge w:val="restart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1 327,9</w:t>
            </w:r>
          </w:p>
        </w:tc>
        <w:tc>
          <w:tcPr>
            <w:tcW w:w="1559" w:type="dxa"/>
            <w:vMerge w:val="restart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598,5</w:t>
            </w:r>
          </w:p>
        </w:tc>
        <w:tc>
          <w:tcPr>
            <w:tcW w:w="1388" w:type="dxa"/>
            <w:vMerge w:val="restart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3 081,1</w:t>
            </w:r>
          </w:p>
        </w:tc>
        <w:tc>
          <w:tcPr>
            <w:tcW w:w="1388" w:type="dxa"/>
            <w:vMerge w:val="restart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1 027,0</w:t>
            </w:r>
          </w:p>
        </w:tc>
      </w:tr>
      <w:tr w:rsidR="00D22425">
        <w:trPr>
          <w:trHeight w:val="322"/>
        </w:trPr>
        <w:tc>
          <w:tcPr>
            <w:tcW w:w="3227" w:type="dxa"/>
          </w:tcPr>
          <w:p w:rsidR="00D22425" w:rsidRDefault="00DB0CA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130 1 16 10021 02 0000 140</w:t>
            </w:r>
          </w:p>
        </w:tc>
        <w:tc>
          <w:tcPr>
            <w:tcW w:w="1276" w:type="dxa"/>
          </w:tcPr>
          <w:p w:rsidR="00D22425" w:rsidRDefault="00DB0CA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417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138,3</w:t>
            </w:r>
          </w:p>
        </w:tc>
        <w:tc>
          <w:tcPr>
            <w:tcW w:w="1559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365,9</w:t>
            </w:r>
          </w:p>
        </w:tc>
        <w:tc>
          <w:tcPr>
            <w:tcW w:w="1388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504,2</w:t>
            </w:r>
          </w:p>
        </w:tc>
        <w:tc>
          <w:tcPr>
            <w:tcW w:w="1388" w:type="dxa"/>
          </w:tcPr>
          <w:p w:rsidR="00D22425" w:rsidRDefault="00DB0CA8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168,0</w:t>
            </w:r>
          </w:p>
        </w:tc>
      </w:tr>
    </w:tbl>
    <w:p w:rsidR="00D22425" w:rsidRDefault="00DB0CA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Прогноз на третий год планового периода принимается на уровне прогноза второго года планового периода.</w:t>
      </w:r>
    </w:p>
    <w:p w:rsidR="00D22425" w:rsidRDefault="00D224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425" w:rsidRDefault="00D224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425" w:rsidRDefault="00D2242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2425" w:rsidRDefault="00DB0CA8">
      <w:pPr>
        <w:spacing w:after="0" w:line="240" w:lineRule="auto"/>
        <w:rPr>
          <w:rFonts w:ascii="Times New Roman" w:hAnsi="Times New Roman"/>
          <w:iCs/>
          <w:sz w:val="28"/>
          <w:szCs w:val="28"/>
          <w:lang w:eastAsia="ru-RU"/>
        </w:rPr>
      </w:pPr>
      <w:r>
        <w:rPr>
          <w:rFonts w:ascii="Times New Roman" w:hAnsi="Times New Roman"/>
          <w:iCs/>
          <w:sz w:val="28"/>
          <w:szCs w:val="28"/>
          <w:lang w:eastAsia="ru-RU"/>
        </w:rPr>
        <w:t>Заместитель министра</w:t>
      </w:r>
      <w:r>
        <w:rPr>
          <w:rFonts w:ascii="Times New Roman" w:hAnsi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/>
          <w:iCs/>
          <w:sz w:val="28"/>
          <w:szCs w:val="28"/>
          <w:lang w:eastAsia="ru-RU"/>
        </w:rPr>
        <w:tab/>
      </w:r>
      <w:r>
        <w:rPr>
          <w:rFonts w:ascii="Times New Roman" w:hAnsi="Times New Roman"/>
          <w:iCs/>
          <w:sz w:val="28"/>
          <w:szCs w:val="28"/>
          <w:lang w:eastAsia="ru-RU"/>
        </w:rPr>
        <w:tab/>
        <w:t xml:space="preserve">       Ж.С. </w:t>
      </w:r>
      <w:proofErr w:type="spellStart"/>
      <w:r>
        <w:rPr>
          <w:rFonts w:ascii="Times New Roman" w:hAnsi="Times New Roman"/>
          <w:iCs/>
          <w:sz w:val="28"/>
          <w:szCs w:val="28"/>
          <w:lang w:eastAsia="ru-RU"/>
        </w:rPr>
        <w:t>Шурова</w:t>
      </w:r>
      <w:proofErr w:type="spellEnd"/>
    </w:p>
    <w:sectPr w:rsidR="00D22425">
      <w:headerReference w:type="default" r:id="rId9"/>
      <w:footerReference w:type="default" r:id="rId10"/>
      <w:pgSz w:w="11906" w:h="16838"/>
      <w:pgMar w:top="567" w:right="850" w:bottom="851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2425" w:rsidRDefault="00DB0CA8">
      <w:pPr>
        <w:spacing w:after="0" w:line="240" w:lineRule="auto"/>
      </w:pPr>
      <w:r>
        <w:separator/>
      </w:r>
    </w:p>
  </w:endnote>
  <w:endnote w:type="continuationSeparator" w:id="0">
    <w:p w:rsidR="00D22425" w:rsidRDefault="00DB0C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425" w:rsidRDefault="00DB0CA8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:rsidR="00D22425" w:rsidRDefault="00D2242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2425" w:rsidRDefault="00DB0CA8">
      <w:pPr>
        <w:spacing w:after="0" w:line="240" w:lineRule="auto"/>
      </w:pPr>
      <w:r>
        <w:separator/>
      </w:r>
    </w:p>
  </w:footnote>
  <w:footnote w:type="continuationSeparator" w:id="0">
    <w:p w:rsidR="00D22425" w:rsidRDefault="00DB0C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2425" w:rsidRDefault="00D22425">
    <w:pPr>
      <w:pStyle w:val="ab"/>
    </w:pPr>
  </w:p>
  <w:p w:rsidR="00D22425" w:rsidRDefault="00D2242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7A42"/>
    <w:multiLevelType w:val="hybridMultilevel"/>
    <w:tmpl w:val="24B6BBB2"/>
    <w:lvl w:ilvl="0" w:tplc="38849A22">
      <w:start w:val="1"/>
      <w:numFmt w:val="decimal"/>
      <w:lvlText w:val="%1."/>
      <w:lvlJc w:val="left"/>
      <w:pPr>
        <w:ind w:left="1069" w:hanging="360"/>
      </w:pPr>
    </w:lvl>
    <w:lvl w:ilvl="1" w:tplc="99E67E4C">
      <w:start w:val="1"/>
      <w:numFmt w:val="lowerLetter"/>
      <w:lvlText w:val="%2."/>
      <w:lvlJc w:val="left"/>
      <w:pPr>
        <w:ind w:left="1789" w:hanging="360"/>
      </w:pPr>
    </w:lvl>
    <w:lvl w:ilvl="2" w:tplc="D0EC75C0">
      <w:start w:val="1"/>
      <w:numFmt w:val="lowerRoman"/>
      <w:lvlText w:val="%3."/>
      <w:lvlJc w:val="right"/>
      <w:pPr>
        <w:ind w:left="2509" w:hanging="180"/>
      </w:pPr>
    </w:lvl>
    <w:lvl w:ilvl="3" w:tplc="DC8208BC">
      <w:start w:val="1"/>
      <w:numFmt w:val="decimal"/>
      <w:lvlText w:val="%4."/>
      <w:lvlJc w:val="left"/>
      <w:pPr>
        <w:ind w:left="3229" w:hanging="360"/>
      </w:pPr>
    </w:lvl>
    <w:lvl w:ilvl="4" w:tplc="82C8BDFE">
      <w:start w:val="1"/>
      <w:numFmt w:val="lowerLetter"/>
      <w:lvlText w:val="%5."/>
      <w:lvlJc w:val="left"/>
      <w:pPr>
        <w:ind w:left="3949" w:hanging="360"/>
      </w:pPr>
    </w:lvl>
    <w:lvl w:ilvl="5" w:tplc="5DA26488">
      <w:start w:val="1"/>
      <w:numFmt w:val="lowerRoman"/>
      <w:lvlText w:val="%6."/>
      <w:lvlJc w:val="right"/>
      <w:pPr>
        <w:ind w:left="4669" w:hanging="180"/>
      </w:pPr>
    </w:lvl>
    <w:lvl w:ilvl="6" w:tplc="349E17DC">
      <w:start w:val="1"/>
      <w:numFmt w:val="decimal"/>
      <w:lvlText w:val="%7."/>
      <w:lvlJc w:val="left"/>
      <w:pPr>
        <w:ind w:left="5389" w:hanging="360"/>
      </w:pPr>
    </w:lvl>
    <w:lvl w:ilvl="7" w:tplc="BE067EEE">
      <w:start w:val="1"/>
      <w:numFmt w:val="lowerLetter"/>
      <w:lvlText w:val="%8."/>
      <w:lvlJc w:val="left"/>
      <w:pPr>
        <w:ind w:left="6109" w:hanging="360"/>
      </w:pPr>
    </w:lvl>
    <w:lvl w:ilvl="8" w:tplc="E9CA9ED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8547E3"/>
    <w:multiLevelType w:val="hybridMultilevel"/>
    <w:tmpl w:val="4080F042"/>
    <w:lvl w:ilvl="0" w:tplc="965A9900">
      <w:start w:val="1"/>
      <w:numFmt w:val="decimal"/>
      <w:lvlText w:val="%1)"/>
      <w:lvlJc w:val="left"/>
      <w:pPr>
        <w:ind w:left="1773" w:hanging="1065"/>
      </w:pPr>
    </w:lvl>
    <w:lvl w:ilvl="1" w:tplc="17F80C5E">
      <w:start w:val="1"/>
      <w:numFmt w:val="lowerLetter"/>
      <w:lvlText w:val="%2."/>
      <w:lvlJc w:val="left"/>
      <w:pPr>
        <w:ind w:left="1788" w:hanging="360"/>
      </w:pPr>
    </w:lvl>
    <w:lvl w:ilvl="2" w:tplc="E8FCA68A">
      <w:start w:val="1"/>
      <w:numFmt w:val="lowerRoman"/>
      <w:lvlText w:val="%3."/>
      <w:lvlJc w:val="right"/>
      <w:pPr>
        <w:ind w:left="2508" w:hanging="180"/>
      </w:pPr>
    </w:lvl>
    <w:lvl w:ilvl="3" w:tplc="AE964B42">
      <w:start w:val="1"/>
      <w:numFmt w:val="decimal"/>
      <w:lvlText w:val="%4."/>
      <w:lvlJc w:val="left"/>
      <w:pPr>
        <w:ind w:left="3228" w:hanging="360"/>
      </w:pPr>
    </w:lvl>
    <w:lvl w:ilvl="4" w:tplc="B3AA16C8">
      <w:start w:val="1"/>
      <w:numFmt w:val="lowerLetter"/>
      <w:lvlText w:val="%5."/>
      <w:lvlJc w:val="left"/>
      <w:pPr>
        <w:ind w:left="3948" w:hanging="360"/>
      </w:pPr>
    </w:lvl>
    <w:lvl w:ilvl="5" w:tplc="694E7368">
      <w:start w:val="1"/>
      <w:numFmt w:val="lowerRoman"/>
      <w:lvlText w:val="%6."/>
      <w:lvlJc w:val="right"/>
      <w:pPr>
        <w:ind w:left="4668" w:hanging="180"/>
      </w:pPr>
    </w:lvl>
    <w:lvl w:ilvl="6" w:tplc="D10A0600">
      <w:start w:val="1"/>
      <w:numFmt w:val="decimal"/>
      <w:lvlText w:val="%7."/>
      <w:lvlJc w:val="left"/>
      <w:pPr>
        <w:ind w:left="5388" w:hanging="360"/>
      </w:pPr>
    </w:lvl>
    <w:lvl w:ilvl="7" w:tplc="6C9E8336">
      <w:start w:val="1"/>
      <w:numFmt w:val="lowerLetter"/>
      <w:lvlText w:val="%8."/>
      <w:lvlJc w:val="left"/>
      <w:pPr>
        <w:ind w:left="6108" w:hanging="360"/>
      </w:pPr>
    </w:lvl>
    <w:lvl w:ilvl="8" w:tplc="0DC00398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86D1CDF"/>
    <w:multiLevelType w:val="hybridMultilevel"/>
    <w:tmpl w:val="91E0D5D2"/>
    <w:lvl w:ilvl="0" w:tplc="5BAE87E0">
      <w:start w:val="1"/>
      <w:numFmt w:val="decimal"/>
      <w:lvlText w:val="%1)"/>
      <w:lvlJc w:val="left"/>
      <w:pPr>
        <w:ind w:left="1773" w:hanging="1065"/>
      </w:pPr>
    </w:lvl>
    <w:lvl w:ilvl="1" w:tplc="1B469E96">
      <w:start w:val="1"/>
      <w:numFmt w:val="lowerLetter"/>
      <w:lvlText w:val="%2."/>
      <w:lvlJc w:val="left"/>
      <w:pPr>
        <w:ind w:left="1788" w:hanging="360"/>
      </w:pPr>
    </w:lvl>
    <w:lvl w:ilvl="2" w:tplc="65CA687C">
      <w:start w:val="1"/>
      <w:numFmt w:val="lowerRoman"/>
      <w:lvlText w:val="%3."/>
      <w:lvlJc w:val="right"/>
      <w:pPr>
        <w:ind w:left="2508" w:hanging="180"/>
      </w:pPr>
    </w:lvl>
    <w:lvl w:ilvl="3" w:tplc="B77A3E96">
      <w:start w:val="1"/>
      <w:numFmt w:val="decimal"/>
      <w:lvlText w:val="%4."/>
      <w:lvlJc w:val="left"/>
      <w:pPr>
        <w:ind w:left="3228" w:hanging="360"/>
      </w:pPr>
    </w:lvl>
    <w:lvl w:ilvl="4" w:tplc="61126C46">
      <w:start w:val="1"/>
      <w:numFmt w:val="lowerLetter"/>
      <w:lvlText w:val="%5."/>
      <w:lvlJc w:val="left"/>
      <w:pPr>
        <w:ind w:left="3948" w:hanging="360"/>
      </w:pPr>
    </w:lvl>
    <w:lvl w:ilvl="5" w:tplc="3586B718">
      <w:start w:val="1"/>
      <w:numFmt w:val="lowerRoman"/>
      <w:lvlText w:val="%6."/>
      <w:lvlJc w:val="right"/>
      <w:pPr>
        <w:ind w:left="4668" w:hanging="180"/>
      </w:pPr>
    </w:lvl>
    <w:lvl w:ilvl="6" w:tplc="AF30670C">
      <w:start w:val="1"/>
      <w:numFmt w:val="decimal"/>
      <w:lvlText w:val="%7."/>
      <w:lvlJc w:val="left"/>
      <w:pPr>
        <w:ind w:left="5388" w:hanging="360"/>
      </w:pPr>
    </w:lvl>
    <w:lvl w:ilvl="7" w:tplc="BAC23C64">
      <w:start w:val="1"/>
      <w:numFmt w:val="lowerLetter"/>
      <w:lvlText w:val="%8."/>
      <w:lvlJc w:val="left"/>
      <w:pPr>
        <w:ind w:left="6108" w:hanging="360"/>
      </w:pPr>
    </w:lvl>
    <w:lvl w:ilvl="8" w:tplc="3B06A166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49164A1"/>
    <w:multiLevelType w:val="hybridMultilevel"/>
    <w:tmpl w:val="9D927930"/>
    <w:lvl w:ilvl="0" w:tplc="8DFA4DF4">
      <w:start w:val="1"/>
      <w:numFmt w:val="decimal"/>
      <w:lvlText w:val="%1)"/>
      <w:lvlJc w:val="left"/>
      <w:pPr>
        <w:ind w:left="1773" w:hanging="1065"/>
      </w:pPr>
    </w:lvl>
    <w:lvl w:ilvl="1" w:tplc="E9DEAAB8">
      <w:start w:val="1"/>
      <w:numFmt w:val="lowerLetter"/>
      <w:lvlText w:val="%2."/>
      <w:lvlJc w:val="left"/>
      <w:pPr>
        <w:ind w:left="1788" w:hanging="360"/>
      </w:pPr>
    </w:lvl>
    <w:lvl w:ilvl="2" w:tplc="DB1AFB7E">
      <w:start w:val="1"/>
      <w:numFmt w:val="lowerRoman"/>
      <w:lvlText w:val="%3."/>
      <w:lvlJc w:val="right"/>
      <w:pPr>
        <w:ind w:left="2508" w:hanging="180"/>
      </w:pPr>
    </w:lvl>
    <w:lvl w:ilvl="3" w:tplc="D340FDDC">
      <w:start w:val="1"/>
      <w:numFmt w:val="decimal"/>
      <w:lvlText w:val="%4."/>
      <w:lvlJc w:val="left"/>
      <w:pPr>
        <w:ind w:left="3228" w:hanging="360"/>
      </w:pPr>
    </w:lvl>
    <w:lvl w:ilvl="4" w:tplc="7D826BF0">
      <w:start w:val="1"/>
      <w:numFmt w:val="lowerLetter"/>
      <w:lvlText w:val="%5."/>
      <w:lvlJc w:val="left"/>
      <w:pPr>
        <w:ind w:left="3948" w:hanging="360"/>
      </w:pPr>
    </w:lvl>
    <w:lvl w:ilvl="5" w:tplc="495A83E8">
      <w:start w:val="1"/>
      <w:numFmt w:val="lowerRoman"/>
      <w:lvlText w:val="%6."/>
      <w:lvlJc w:val="right"/>
      <w:pPr>
        <w:ind w:left="4668" w:hanging="180"/>
      </w:pPr>
    </w:lvl>
    <w:lvl w:ilvl="6" w:tplc="C2F6E1F0">
      <w:start w:val="1"/>
      <w:numFmt w:val="decimal"/>
      <w:lvlText w:val="%7."/>
      <w:lvlJc w:val="left"/>
      <w:pPr>
        <w:ind w:left="5388" w:hanging="360"/>
      </w:pPr>
    </w:lvl>
    <w:lvl w:ilvl="7" w:tplc="57549D34">
      <w:start w:val="1"/>
      <w:numFmt w:val="lowerLetter"/>
      <w:lvlText w:val="%8."/>
      <w:lvlJc w:val="left"/>
      <w:pPr>
        <w:ind w:left="6108" w:hanging="360"/>
      </w:pPr>
    </w:lvl>
    <w:lvl w:ilvl="8" w:tplc="6EF8B546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F9015D2"/>
    <w:multiLevelType w:val="hybridMultilevel"/>
    <w:tmpl w:val="849E0D0E"/>
    <w:lvl w:ilvl="0" w:tplc="11B0F8D4">
      <w:start w:val="1"/>
      <w:numFmt w:val="decimal"/>
      <w:lvlText w:val="%1)"/>
      <w:lvlJc w:val="left"/>
      <w:pPr>
        <w:ind w:left="435" w:hanging="360"/>
      </w:pPr>
    </w:lvl>
    <w:lvl w:ilvl="1" w:tplc="7084EA32">
      <w:start w:val="1"/>
      <w:numFmt w:val="lowerLetter"/>
      <w:lvlText w:val="%2."/>
      <w:lvlJc w:val="left"/>
      <w:pPr>
        <w:ind w:left="1155" w:hanging="360"/>
      </w:pPr>
    </w:lvl>
    <w:lvl w:ilvl="2" w:tplc="1EAAE696">
      <w:start w:val="1"/>
      <w:numFmt w:val="lowerRoman"/>
      <w:lvlText w:val="%3."/>
      <w:lvlJc w:val="right"/>
      <w:pPr>
        <w:ind w:left="1875" w:hanging="180"/>
      </w:pPr>
    </w:lvl>
    <w:lvl w:ilvl="3" w:tplc="AD984232">
      <w:start w:val="1"/>
      <w:numFmt w:val="decimal"/>
      <w:lvlText w:val="%4."/>
      <w:lvlJc w:val="left"/>
      <w:pPr>
        <w:ind w:left="2595" w:hanging="360"/>
      </w:pPr>
    </w:lvl>
    <w:lvl w:ilvl="4" w:tplc="F106FB30">
      <w:start w:val="1"/>
      <w:numFmt w:val="lowerLetter"/>
      <w:lvlText w:val="%5."/>
      <w:lvlJc w:val="left"/>
      <w:pPr>
        <w:ind w:left="3315" w:hanging="360"/>
      </w:pPr>
    </w:lvl>
    <w:lvl w:ilvl="5" w:tplc="F79A6C34">
      <w:start w:val="1"/>
      <w:numFmt w:val="lowerRoman"/>
      <w:lvlText w:val="%6."/>
      <w:lvlJc w:val="right"/>
      <w:pPr>
        <w:ind w:left="4035" w:hanging="180"/>
      </w:pPr>
    </w:lvl>
    <w:lvl w:ilvl="6" w:tplc="9EEEC2AA">
      <w:start w:val="1"/>
      <w:numFmt w:val="decimal"/>
      <w:lvlText w:val="%7."/>
      <w:lvlJc w:val="left"/>
      <w:pPr>
        <w:ind w:left="4755" w:hanging="360"/>
      </w:pPr>
    </w:lvl>
    <w:lvl w:ilvl="7" w:tplc="9C748EFC">
      <w:start w:val="1"/>
      <w:numFmt w:val="lowerLetter"/>
      <w:lvlText w:val="%8."/>
      <w:lvlJc w:val="left"/>
      <w:pPr>
        <w:ind w:left="5475" w:hanging="360"/>
      </w:pPr>
    </w:lvl>
    <w:lvl w:ilvl="8" w:tplc="05305EA2">
      <w:start w:val="1"/>
      <w:numFmt w:val="lowerRoman"/>
      <w:lvlText w:val="%9."/>
      <w:lvlJc w:val="right"/>
      <w:pPr>
        <w:ind w:left="6195" w:hanging="180"/>
      </w:pPr>
    </w:lvl>
  </w:abstractNum>
  <w:abstractNum w:abstractNumId="5" w15:restartNumberingAfterBreak="0">
    <w:nsid w:val="61105DD4"/>
    <w:multiLevelType w:val="hybridMultilevel"/>
    <w:tmpl w:val="C8840FEE"/>
    <w:lvl w:ilvl="0" w:tplc="5B2ACA24">
      <w:start w:val="1"/>
      <w:numFmt w:val="decimal"/>
      <w:lvlText w:val="%1."/>
      <w:lvlJc w:val="left"/>
      <w:pPr>
        <w:ind w:left="1069" w:hanging="360"/>
      </w:pPr>
    </w:lvl>
    <w:lvl w:ilvl="1" w:tplc="73AAD5AE">
      <w:start w:val="1"/>
      <w:numFmt w:val="lowerLetter"/>
      <w:lvlText w:val="%2."/>
      <w:lvlJc w:val="left"/>
      <w:pPr>
        <w:ind w:left="1789" w:hanging="360"/>
      </w:pPr>
    </w:lvl>
    <w:lvl w:ilvl="2" w:tplc="167844C4">
      <w:start w:val="1"/>
      <w:numFmt w:val="lowerRoman"/>
      <w:lvlText w:val="%3."/>
      <w:lvlJc w:val="right"/>
      <w:pPr>
        <w:ind w:left="2509" w:hanging="180"/>
      </w:pPr>
    </w:lvl>
    <w:lvl w:ilvl="3" w:tplc="76340C84">
      <w:start w:val="1"/>
      <w:numFmt w:val="decimal"/>
      <w:lvlText w:val="%4."/>
      <w:lvlJc w:val="left"/>
      <w:pPr>
        <w:ind w:left="3229" w:hanging="360"/>
      </w:pPr>
    </w:lvl>
    <w:lvl w:ilvl="4" w:tplc="A086D666">
      <w:start w:val="1"/>
      <w:numFmt w:val="lowerLetter"/>
      <w:lvlText w:val="%5."/>
      <w:lvlJc w:val="left"/>
      <w:pPr>
        <w:ind w:left="3949" w:hanging="360"/>
      </w:pPr>
    </w:lvl>
    <w:lvl w:ilvl="5" w:tplc="90B6FDE8">
      <w:start w:val="1"/>
      <w:numFmt w:val="lowerRoman"/>
      <w:lvlText w:val="%6."/>
      <w:lvlJc w:val="right"/>
      <w:pPr>
        <w:ind w:left="4669" w:hanging="180"/>
      </w:pPr>
    </w:lvl>
    <w:lvl w:ilvl="6" w:tplc="37D41380">
      <w:start w:val="1"/>
      <w:numFmt w:val="decimal"/>
      <w:lvlText w:val="%7."/>
      <w:lvlJc w:val="left"/>
      <w:pPr>
        <w:ind w:left="5389" w:hanging="360"/>
      </w:pPr>
    </w:lvl>
    <w:lvl w:ilvl="7" w:tplc="622825DC">
      <w:start w:val="1"/>
      <w:numFmt w:val="lowerLetter"/>
      <w:lvlText w:val="%8."/>
      <w:lvlJc w:val="left"/>
      <w:pPr>
        <w:ind w:left="6109" w:hanging="360"/>
      </w:pPr>
    </w:lvl>
    <w:lvl w:ilvl="8" w:tplc="DE7859F2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76C952D5"/>
    <w:multiLevelType w:val="multilevel"/>
    <w:tmpl w:val="D92AB258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03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2136" w:hanging="720"/>
      </w:pPr>
    </w:lvl>
    <w:lvl w:ilvl="3">
      <w:start w:val="1"/>
      <w:numFmt w:val="decimal"/>
      <w:lvlText w:val="%1.%2.%3.%4."/>
      <w:lvlJc w:val="left"/>
      <w:pPr>
        <w:ind w:left="3204" w:hanging="1080"/>
      </w:pPr>
    </w:lvl>
    <w:lvl w:ilvl="4">
      <w:start w:val="1"/>
      <w:numFmt w:val="decimal"/>
      <w:lvlText w:val="%1.%2.%3.%4.%5."/>
      <w:lvlJc w:val="left"/>
      <w:pPr>
        <w:ind w:left="3912" w:hanging="1080"/>
      </w:pPr>
    </w:lvl>
    <w:lvl w:ilvl="5">
      <w:start w:val="1"/>
      <w:numFmt w:val="decimal"/>
      <w:lvlText w:val="%1.%2.%3.%4.%5.%6."/>
      <w:lvlJc w:val="left"/>
      <w:pPr>
        <w:ind w:left="4980" w:hanging="1440"/>
      </w:pPr>
    </w:lvl>
    <w:lvl w:ilvl="6">
      <w:start w:val="1"/>
      <w:numFmt w:val="decimal"/>
      <w:lvlText w:val="%1.%2.%3.%4.%5.%6.%7."/>
      <w:lvlJc w:val="left"/>
      <w:pPr>
        <w:ind w:left="6048" w:hanging="1800"/>
      </w:pPr>
    </w:lvl>
    <w:lvl w:ilvl="7">
      <w:start w:val="1"/>
      <w:numFmt w:val="decimal"/>
      <w:lvlText w:val="%1.%2.%3.%4.%5.%6.%7.%8."/>
      <w:lvlJc w:val="left"/>
      <w:pPr>
        <w:ind w:left="6756" w:hanging="1800"/>
      </w:pPr>
    </w:lvl>
    <w:lvl w:ilvl="8">
      <w:start w:val="1"/>
      <w:numFmt w:val="decimal"/>
      <w:lvlText w:val="%1.%2.%3.%4.%5.%6.%7.%8.%9."/>
      <w:lvlJc w:val="left"/>
      <w:pPr>
        <w:ind w:left="7824" w:hanging="2160"/>
      </w:pPr>
    </w:lvl>
  </w:abstractNum>
  <w:num w:numId="1">
    <w:abstractNumId w:val="5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3"/>
  </w:num>
  <w:num w:numId="6">
    <w:abstractNumId w:val="4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22425"/>
    <w:rsid w:val="00854978"/>
    <w:rsid w:val="00D22425"/>
    <w:rsid w:val="00DB0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A6732F-8877-4575-9A3C-787761B24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en-US" w:eastAsia="ru-RU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semiHidden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character" w:customStyle="1" w:styleId="40">
    <w:name w:val="Заголовок 4 Знак"/>
    <w:link w:val="4"/>
    <w:uiPriority w:val="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s1">
    <w:name w:val="s_1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22">
    <w:name w:val="s_22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  <w:lang w:val="en-US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0E1A5-7AAA-48BA-AC26-31CC64FE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15</Pages>
  <Words>5787</Words>
  <Characters>32988</Characters>
  <Application>Microsoft Office Word</Application>
  <DocSecurity>0</DocSecurity>
  <Lines>274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38698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Рогожникова Екатерина Олеговна</dc:creator>
  <cp:lastModifiedBy>Коновалова Елена Сергеевна</cp:lastModifiedBy>
  <cp:revision>182</cp:revision>
  <dcterms:created xsi:type="dcterms:W3CDTF">2018-07-03T03:20:00Z</dcterms:created>
  <dcterms:modified xsi:type="dcterms:W3CDTF">2025-07-16T04:21:00Z</dcterms:modified>
  <cp:version>1048576</cp:version>
</cp:coreProperties>
</file>